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227" w:rsidRDefault="00AE1227" w:rsidP="005339D1">
      <w:pPr>
        <w:spacing w:line="640" w:lineRule="exact"/>
        <w:rPr>
          <w:rFonts w:ascii="仿宋_GB2312" w:eastAsia="仿宋_GB2312"/>
          <w:color w:val="000000"/>
          <w:sz w:val="32"/>
          <w:szCs w:val="32"/>
        </w:rPr>
      </w:pPr>
      <w:bookmarkStart w:id="0" w:name="_GoBack"/>
      <w:bookmarkEnd w:id="0"/>
      <w:r>
        <w:rPr>
          <w:rFonts w:ascii="仿宋_GB2312" w:eastAsia="仿宋_GB2312" w:hint="eastAsia"/>
          <w:color w:val="000000"/>
          <w:sz w:val="32"/>
          <w:szCs w:val="32"/>
        </w:rPr>
        <w:t>附件</w:t>
      </w:r>
      <w:r>
        <w:rPr>
          <w:rFonts w:ascii="仿宋_GB2312" w:eastAsia="仿宋_GB2312"/>
          <w:color w:val="000000"/>
          <w:sz w:val="32"/>
          <w:szCs w:val="32"/>
        </w:rPr>
        <w:t>4</w:t>
      </w:r>
    </w:p>
    <w:p w:rsidR="00AE1227" w:rsidRDefault="00AE1227" w:rsidP="005339D1">
      <w:pPr>
        <w:spacing w:line="560" w:lineRule="exact"/>
        <w:jc w:val="center"/>
        <w:rPr>
          <w:rFonts w:ascii="黑体" w:eastAsia="黑体" w:hAnsi="宋体" w:cs="仿宋"/>
          <w:b/>
          <w:sz w:val="36"/>
          <w:szCs w:val="36"/>
          <w:shd w:val="clear" w:color="auto" w:fill="FFFFFF"/>
        </w:rPr>
      </w:pPr>
      <w:r>
        <w:rPr>
          <w:rFonts w:ascii="黑体" w:eastAsia="黑体" w:hAnsi="??" w:cs="Arial" w:hint="eastAsia"/>
          <w:sz w:val="36"/>
          <w:szCs w:val="36"/>
        </w:rPr>
        <w:t>关于部分检验项目的说明</w:t>
      </w:r>
    </w:p>
    <w:p w:rsidR="00AE1227" w:rsidRDefault="00AE1227" w:rsidP="005339D1">
      <w:pPr>
        <w:spacing w:line="600" w:lineRule="exact"/>
        <w:ind w:firstLineChars="200" w:firstLine="31680"/>
        <w:rPr>
          <w:rFonts w:ascii="仿宋_GB2312" w:eastAsia="仿宋_GB2312" w:hAnsi="宋体" w:cs="仿宋"/>
          <w:sz w:val="32"/>
          <w:szCs w:val="32"/>
          <w:shd w:val="clear" w:color="auto" w:fill="FFFFFF"/>
        </w:rPr>
      </w:pPr>
    </w:p>
    <w:p w:rsidR="00AE1227" w:rsidRDefault="00AE1227" w:rsidP="005339D1">
      <w:pPr>
        <w:spacing w:line="560" w:lineRule="exact"/>
        <w:ind w:firstLineChars="200" w:firstLine="3168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阿维菌素是一种生物农药，无致畸、致癌、致突变作用。喷施叶表面可迅速分解消散，渗入植物薄壁组织内的活性成份可较长时间存在于组织中并具有传导作用，对害螨和植物组织内取食危害的昆虫有长残效性。阿维菌素超标可能是由于生产者未注意阿维菌素的使用安全间隔期，同时，在起始浓度大或使用次数多的作物上阿维菌素的残留量还是可能比较高，甚至超标。阿维菌素属高毒农药，对哺乳动物的繁殖生育能力具有潜在毒性作用。</w:t>
      </w:r>
    </w:p>
    <w:p w:rsidR="00AE1227" w:rsidRPr="005339D1" w:rsidRDefault="00AE1227" w:rsidP="005339D1">
      <w:pPr>
        <w:rPr>
          <w:szCs w:val="32"/>
          <w:shd w:val="clear" w:color="auto" w:fill="FFFFFF"/>
        </w:rPr>
      </w:pPr>
    </w:p>
    <w:sectPr w:rsidR="00AE1227" w:rsidRPr="005339D1" w:rsidSect="000D71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71E3"/>
    <w:rsid w:val="000D71E3"/>
    <w:rsid w:val="005339D1"/>
    <w:rsid w:val="00AC549C"/>
    <w:rsid w:val="00AE1227"/>
    <w:rsid w:val="00B57F4D"/>
    <w:rsid w:val="0852668C"/>
    <w:rsid w:val="183E68AD"/>
    <w:rsid w:val="73FC08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1E3"/>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5135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31</Words>
  <Characters>182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2014-10-29T12:08:00Z</dcterms:created>
  <dcterms:modified xsi:type="dcterms:W3CDTF">2017-07-25T07:31:00Z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