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E42" w:rsidRDefault="002F7E42">
      <w:pPr>
        <w:spacing w:line="640" w:lineRule="exact"/>
        <w:rPr>
          <w:rFonts w:ascii="仿宋_GB2312" w:eastAsia="仿宋_GB2312"/>
          <w:color w:val="000000"/>
          <w:sz w:val="32"/>
          <w:szCs w:val="32"/>
        </w:rPr>
      </w:pPr>
      <w:r>
        <w:rPr>
          <w:rFonts w:ascii="仿宋_GB2312" w:eastAsia="仿宋_GB2312" w:hint="eastAsia"/>
          <w:color w:val="000000"/>
          <w:sz w:val="32"/>
          <w:szCs w:val="32"/>
        </w:rPr>
        <w:t>附件</w:t>
      </w:r>
      <w:r>
        <w:rPr>
          <w:rFonts w:ascii="仿宋_GB2312" w:eastAsia="仿宋_GB2312"/>
          <w:color w:val="000000"/>
          <w:sz w:val="32"/>
          <w:szCs w:val="32"/>
        </w:rPr>
        <w:t>4</w:t>
      </w:r>
    </w:p>
    <w:p w:rsidR="002F7E42" w:rsidRDefault="002F7E42">
      <w:pPr>
        <w:spacing w:line="560" w:lineRule="exact"/>
        <w:jc w:val="center"/>
        <w:rPr>
          <w:rFonts w:ascii="黑体" w:eastAsia="黑体" w:hAnsi="宋体" w:cs="仿宋"/>
          <w:b/>
          <w:sz w:val="36"/>
          <w:szCs w:val="36"/>
          <w:shd w:val="clear" w:color="auto" w:fill="FFFFFF"/>
        </w:rPr>
      </w:pPr>
      <w:r>
        <w:rPr>
          <w:rFonts w:ascii="黑体" w:eastAsia="黑体" w:hAnsi="??" w:cs="Arial" w:hint="eastAsia"/>
          <w:sz w:val="36"/>
          <w:szCs w:val="36"/>
        </w:rPr>
        <w:t>关于部分检验项目的说明</w:t>
      </w:r>
    </w:p>
    <w:p w:rsidR="002F7E42" w:rsidRDefault="002F7E42" w:rsidP="00DA5F60">
      <w:pPr>
        <w:spacing w:line="600" w:lineRule="exact"/>
        <w:ind w:firstLineChars="200" w:firstLine="31680"/>
        <w:rPr>
          <w:rFonts w:ascii="仿宋_GB2312" w:eastAsia="仿宋_GB2312" w:hAnsi="宋体" w:cs="仿宋"/>
          <w:sz w:val="32"/>
          <w:szCs w:val="32"/>
          <w:shd w:val="clear" w:color="auto" w:fill="FFFFFF"/>
        </w:rPr>
      </w:pPr>
    </w:p>
    <w:p w:rsidR="002F7E42" w:rsidRDefault="002F7E42" w:rsidP="00DA5F60">
      <w:pPr>
        <w:spacing w:line="560" w:lineRule="exact"/>
        <w:ind w:firstLineChars="200" w:firstLine="31680"/>
        <w:rPr>
          <w:rFonts w:ascii="仿宋_GB2312" w:eastAsia="仿宋_GB2312" w:hAnsi="仿宋_GB2312" w:cs="仿宋_GB2312"/>
          <w:color w:val="000000"/>
          <w:sz w:val="32"/>
          <w:szCs w:val="32"/>
          <w:shd w:val="clear" w:color="auto" w:fill="FFFFFF"/>
        </w:rPr>
      </w:pPr>
      <w:bookmarkStart w:id="0" w:name="_GoBack"/>
      <w:bookmarkEnd w:id="0"/>
      <w:r>
        <w:rPr>
          <w:rFonts w:ascii="仿宋_GB2312" w:eastAsia="仿宋_GB2312" w:hAnsi="仿宋_GB2312" w:cs="仿宋_GB2312" w:hint="eastAsia"/>
          <w:color w:val="000000"/>
          <w:sz w:val="32"/>
          <w:szCs w:val="32"/>
          <w:shd w:val="clear" w:color="auto" w:fill="FFFFFF"/>
        </w:rPr>
        <w:t>阿维菌素是一种生物农药，无致畸、致癌、致突变作用。喷施叶表面可迅速分解消散，渗入植物薄壁组织内的活性成份可较长时间存在于组织中并具有传导作用，对害螨和植物组织内取食危害的昆虫有长残效性。阿维菌素超标可能是由于生产者未注意阿维菌素的使用安全间隔期，同时，在起始浓度大或使用次数多的作物上阿维菌素的残留量还是可能比较高，甚至超标。阿维菌素属高毒农药，对哺乳动物的繁殖生育能力具有潜在毒性作用。</w:t>
      </w:r>
    </w:p>
    <w:p w:rsidR="002F7E42" w:rsidRDefault="002F7E42" w:rsidP="00DA5F60">
      <w:pPr>
        <w:spacing w:line="560" w:lineRule="exact"/>
        <w:ind w:firstLineChars="200" w:firstLine="31680"/>
        <w:rPr>
          <w:shd w:val="clear" w:color="auto" w:fill="FFFFFF"/>
        </w:rPr>
      </w:pPr>
    </w:p>
    <w:sectPr w:rsidR="002F7E42" w:rsidSect="00480A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仿宋">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0ACE"/>
    <w:rsid w:val="000452B0"/>
    <w:rsid w:val="002F7E42"/>
    <w:rsid w:val="00480ACE"/>
    <w:rsid w:val="00C5699A"/>
    <w:rsid w:val="00DA5F60"/>
    <w:rsid w:val="0852668C"/>
    <w:rsid w:val="183E68AD"/>
    <w:rsid w:val="73FC08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ACE"/>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31</Words>
  <Characters>182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cp:revision>
  <dcterms:created xsi:type="dcterms:W3CDTF">2014-10-29T12:08:00Z</dcterms:created>
  <dcterms:modified xsi:type="dcterms:W3CDTF">2017-07-25T07:43:00Z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