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61" w:rsidRDefault="00C75E07">
      <w:pPr>
        <w:spacing w:line="560" w:lineRule="exact"/>
        <w:rPr>
          <w:rFonts w:ascii="黑体" w:eastAsia="黑体" w:hAnsi="黑体"/>
          <w:sz w:val="32"/>
          <w:szCs w:val="32"/>
        </w:rPr>
      </w:pPr>
      <w:r>
        <w:rPr>
          <w:rFonts w:ascii="黑体" w:eastAsia="黑体" w:hAnsi="黑体" w:hint="eastAsia"/>
          <w:sz w:val="32"/>
          <w:szCs w:val="32"/>
        </w:rPr>
        <w:t>附件</w:t>
      </w:r>
      <w:r w:rsidR="001D2006">
        <w:rPr>
          <w:rFonts w:ascii="黑体" w:eastAsia="黑体" w:hAnsi="黑体"/>
          <w:sz w:val="32"/>
          <w:szCs w:val="32"/>
        </w:rPr>
        <w:t>3</w:t>
      </w:r>
    </w:p>
    <w:p w:rsidR="00E11161" w:rsidRDefault="00C75E07">
      <w:pPr>
        <w:spacing w:line="560" w:lineRule="exact"/>
        <w:jc w:val="center"/>
        <w:rPr>
          <w:rFonts w:ascii="方正小标宋简体" w:eastAsia="方正小标宋简体" w:hAnsi="Calibri"/>
          <w:b/>
          <w:bCs/>
          <w:spacing w:val="-12"/>
          <w:sz w:val="44"/>
          <w:szCs w:val="44"/>
        </w:rPr>
      </w:pPr>
      <w:r>
        <w:rPr>
          <w:rFonts w:ascii="方正小标宋简体" w:eastAsia="方正小标宋简体" w:hint="eastAsia"/>
          <w:b/>
          <w:bCs/>
          <w:spacing w:val="-12"/>
          <w:sz w:val="44"/>
          <w:szCs w:val="44"/>
        </w:rPr>
        <w:t>关于</w:t>
      </w:r>
      <w:bookmarkStart w:id="0" w:name="_GoBack"/>
      <w:bookmarkEnd w:id="0"/>
      <w:r>
        <w:rPr>
          <w:rFonts w:ascii="方正小标宋简体" w:eastAsia="方正小标宋简体" w:hint="eastAsia"/>
          <w:b/>
          <w:bCs/>
          <w:spacing w:val="-12"/>
          <w:sz w:val="44"/>
          <w:szCs w:val="44"/>
        </w:rPr>
        <w:t>不合格检验项目的说明</w:t>
      </w:r>
    </w:p>
    <w:p w:rsidR="00E11161" w:rsidRDefault="00C75E07">
      <w:pPr>
        <w:spacing w:line="560" w:lineRule="exact"/>
        <w:rPr>
          <w:rFonts w:ascii="方正小标宋简体" w:eastAsia="方正小标宋简体"/>
          <w:spacing w:val="-12"/>
          <w:sz w:val="32"/>
          <w:szCs w:val="32"/>
        </w:rPr>
      </w:pPr>
      <w:r>
        <w:rPr>
          <w:rFonts w:ascii="方正小标宋简体" w:eastAsia="方正小标宋简体" w:hint="eastAsia"/>
          <w:spacing w:val="-12"/>
          <w:sz w:val="32"/>
          <w:szCs w:val="32"/>
        </w:rPr>
        <w:t xml:space="preserve"> </w:t>
      </w:r>
    </w:p>
    <w:p w:rsidR="00E11161" w:rsidRPr="00226AFA" w:rsidRDefault="00C75E07" w:rsidP="00226AFA">
      <w:pPr>
        <w:spacing w:line="560" w:lineRule="exact"/>
        <w:rPr>
          <w:rFonts w:asciiTheme="minorEastAsia" w:eastAsiaTheme="minorEastAsia" w:hAnsiTheme="minorEastAsia"/>
          <w:b/>
          <w:sz w:val="36"/>
          <w:szCs w:val="32"/>
        </w:rPr>
      </w:pPr>
      <w:r w:rsidRPr="00226AFA">
        <w:rPr>
          <w:rFonts w:asciiTheme="minorEastAsia" w:eastAsiaTheme="minorEastAsia" w:hAnsiTheme="minorEastAsia" w:hint="eastAsia"/>
          <w:b/>
          <w:sz w:val="36"/>
          <w:szCs w:val="32"/>
        </w:rPr>
        <w:t>一、甲胺磷</w:t>
      </w:r>
    </w:p>
    <w:p w:rsidR="00D16E72" w:rsidRPr="00226AFA" w:rsidRDefault="00D16E72" w:rsidP="00C75E07">
      <w:pPr>
        <w:spacing w:line="560" w:lineRule="exact"/>
        <w:ind w:firstLineChars="200" w:firstLine="560"/>
        <w:rPr>
          <w:rFonts w:asciiTheme="minorEastAsia" w:eastAsiaTheme="minorEastAsia" w:hAnsiTheme="minorEastAsia"/>
          <w:color w:val="191F25"/>
          <w:sz w:val="28"/>
          <w:shd w:val="clear" w:color="auto" w:fill="FFFFFF"/>
        </w:rPr>
      </w:pPr>
      <w:r w:rsidRPr="00226AFA">
        <w:rPr>
          <w:rFonts w:asciiTheme="minorEastAsia" w:eastAsiaTheme="minorEastAsia" w:hAnsiTheme="minorEastAsia" w:hint="eastAsia"/>
          <w:color w:val="191F25"/>
          <w:sz w:val="28"/>
          <w:shd w:val="clear" w:color="auto" w:fill="FFFFFF"/>
        </w:rPr>
        <w:t>甲胺磷是我国目前产量最大的一种高效、高毒有机磷杀虫杀螨剂，对害虫具有触杀、胃毒、内吸和一定的熏蒸作用，对螨类还有杀卵作用，《食品安全国家标准 食品中农药最大残留限量》（GB2763-2016）中规定，叶菜类蔬菜中甲胺磷残留最大限量值不得超过0.05mg/kg。少量的农药残留不会导致急性中毒，但长时间食用农药残留超标的蔬菜，可能对人体健康产生一定的不良影响。</w:t>
      </w:r>
    </w:p>
    <w:p w:rsidR="00C75E07" w:rsidRPr="00226AFA" w:rsidRDefault="00C75E07" w:rsidP="00226AFA">
      <w:pPr>
        <w:spacing w:line="560" w:lineRule="exact"/>
        <w:rPr>
          <w:rFonts w:asciiTheme="minorEastAsia" w:eastAsiaTheme="minorEastAsia" w:hAnsiTheme="minorEastAsia"/>
          <w:b/>
          <w:sz w:val="36"/>
          <w:szCs w:val="32"/>
        </w:rPr>
      </w:pPr>
      <w:r w:rsidRPr="00226AFA">
        <w:rPr>
          <w:rFonts w:asciiTheme="minorEastAsia" w:eastAsiaTheme="minorEastAsia" w:hAnsiTheme="minorEastAsia" w:hint="eastAsia"/>
          <w:b/>
          <w:sz w:val="36"/>
          <w:szCs w:val="32"/>
        </w:rPr>
        <w:t>二、敌百虫</w:t>
      </w:r>
    </w:p>
    <w:p w:rsidR="00E11161" w:rsidRPr="00226AFA" w:rsidRDefault="00D16E72" w:rsidP="00C75E07">
      <w:pPr>
        <w:ind w:firstLine="560"/>
        <w:rPr>
          <w:rFonts w:asciiTheme="minorEastAsia" w:eastAsiaTheme="minorEastAsia" w:hAnsiTheme="minorEastAsia"/>
          <w:color w:val="191F25"/>
          <w:sz w:val="28"/>
          <w:shd w:val="clear" w:color="auto" w:fill="FFFFFF"/>
        </w:rPr>
      </w:pPr>
      <w:r w:rsidRPr="00226AFA">
        <w:rPr>
          <w:rFonts w:asciiTheme="minorEastAsia" w:eastAsiaTheme="minorEastAsia" w:hAnsiTheme="minorEastAsia" w:hint="eastAsia"/>
          <w:color w:val="191F25"/>
          <w:sz w:val="28"/>
          <w:shd w:val="clear" w:color="auto" w:fill="FFFFFF"/>
        </w:rPr>
        <w:t>敌百虫作为杀虫剂适用于水稻、麦类、蔬菜、茶树、果树、桑树、棉花等作物上的咀嚼式口器害虫，及家畜寄生虫、卫生害虫的防治。作为有机磷杀虫剂。高效、低毒、低残留、广谱性杀虫剂，以胃毒作用为主，兼有触杀作用，也有渗透活性。农业上应用范围很广，用于防治菜青虫、棉叶跳虫、桑野蚕、桑黄、象鼻虫、果树叶蜂、果蝇等多种害虫。《食品安全国家标准 食品中农药最大残留限量》（GB 2763-2016）规定，</w:t>
      </w:r>
      <w:r w:rsidR="004A0ABB" w:rsidRPr="00226AFA">
        <w:rPr>
          <w:rFonts w:asciiTheme="minorEastAsia" w:eastAsiaTheme="minorEastAsia" w:hAnsiTheme="minorEastAsia" w:hint="eastAsia"/>
          <w:color w:val="191F25"/>
          <w:sz w:val="28"/>
          <w:shd w:val="clear" w:color="auto" w:fill="FFFFFF"/>
        </w:rPr>
        <w:t>豆类蔬菜中敌百虫</w:t>
      </w:r>
      <w:r w:rsidRPr="00226AFA">
        <w:rPr>
          <w:rFonts w:asciiTheme="minorEastAsia" w:eastAsiaTheme="minorEastAsia" w:hAnsiTheme="minorEastAsia" w:hint="eastAsia"/>
          <w:color w:val="191F25"/>
          <w:sz w:val="28"/>
          <w:shd w:val="clear" w:color="auto" w:fill="FFFFFF"/>
        </w:rPr>
        <w:t>最大残留限量</w:t>
      </w:r>
      <w:r w:rsidR="00717590" w:rsidRPr="00226AFA">
        <w:rPr>
          <w:rFonts w:asciiTheme="minorEastAsia" w:eastAsiaTheme="minorEastAsia" w:hAnsiTheme="minorEastAsia" w:hint="eastAsia"/>
          <w:color w:val="191F25"/>
          <w:sz w:val="28"/>
          <w:shd w:val="clear" w:color="auto" w:fill="FFFFFF"/>
        </w:rPr>
        <w:t>值不得超过</w:t>
      </w:r>
      <w:r w:rsidRPr="00226AFA">
        <w:rPr>
          <w:rFonts w:asciiTheme="minorEastAsia" w:eastAsiaTheme="minorEastAsia" w:hAnsiTheme="minorEastAsia"/>
          <w:color w:val="191F25"/>
          <w:sz w:val="28"/>
          <w:shd w:val="clear" w:color="auto" w:fill="FFFFFF"/>
        </w:rPr>
        <w:t>0.2</w:t>
      </w:r>
      <w:r w:rsidRPr="00226AFA">
        <w:rPr>
          <w:rFonts w:asciiTheme="minorEastAsia" w:eastAsiaTheme="minorEastAsia" w:hAnsiTheme="minorEastAsia" w:hint="eastAsia"/>
          <w:color w:val="191F25"/>
          <w:sz w:val="28"/>
          <w:shd w:val="clear" w:color="auto" w:fill="FFFFFF"/>
        </w:rPr>
        <w:t>mg/kg,敌百虫超标，与蔬菜生长期间农药使用剂量未严格控制或在停用杀虫剂后短期内马上采收上市等原因有关。</w:t>
      </w:r>
    </w:p>
    <w:sectPr w:rsidR="00E11161" w:rsidRPr="00226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13538"/>
    <w:rsid w:val="000862A3"/>
    <w:rsid w:val="001D2006"/>
    <w:rsid w:val="00226AFA"/>
    <w:rsid w:val="004A0ABB"/>
    <w:rsid w:val="00717590"/>
    <w:rsid w:val="00927598"/>
    <w:rsid w:val="00A3526E"/>
    <w:rsid w:val="00A95F6A"/>
    <w:rsid w:val="00C75E07"/>
    <w:rsid w:val="00D16E72"/>
    <w:rsid w:val="00E11161"/>
    <w:rsid w:val="00F13538"/>
    <w:rsid w:val="2CEE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084B"/>
  <w15:docId w15:val="{7D6747A6-A281-46A0-B420-9EFE7E53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曹 瑾</cp:lastModifiedBy>
  <cp:revision>5</cp:revision>
  <dcterms:created xsi:type="dcterms:W3CDTF">2018-07-16T03:07:00Z</dcterms:created>
  <dcterms:modified xsi:type="dcterms:W3CDTF">2019-05-20T09:26:00Z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