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抽检依据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GB 2761-2017 《食品安全国家标准 食品中真菌毒素限量》</w:t>
      </w:r>
      <w:r>
        <w:rPr>
          <w:rFonts w:hint="eastAsia" w:ascii="仿宋_GB2312" w:eastAsia="仿宋_GB2312"/>
          <w:sz w:val="32"/>
          <w:szCs w:val="32"/>
          <w:lang w:eastAsia="zh-CN"/>
        </w:rPr>
        <w:t>、GB 2762-2017 《食品安全国家标准 食品中污染物限量》、GB 2760-2014 《食品安全国家标准 食品添加剂使用标准》、食品整治办〔2008〕3号。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1.半固体复合调味料包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罂粟碱、吗啡、可待因、那可丁、蒂巴因、铅（以Pb计）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2.发酵面制品（自制）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3.花生及其制品（餐饮）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4.火锅调味料（底料、蘸料）（自制）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：罂粟碱、吗啡、可待因、那可丁、蒂巴因、铅（以Pb计）。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油辣椒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：罂粟碱、吗啡、可待因、那可丁、蒂巴因、铅（以Pb计）。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6.油炸面制品（自制）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GB 2762-2017 《食品安全国家标准 食品中污染物限量》、GB 2760-2014 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仿宋_GB2312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粉丝粉条抽检项目包括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铅（以Pb计）、铝的残留量(干样品，以Al计)、二氧化硫残留量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抽检依据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GB 2762-2017 《食品安全国家标准 食品中污染物限量》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GB 2763-2016 《食品安全国家标准 食品中农药最大残留限量》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GB 2760-2014 《食品安全国家标准 食品添加剂使用标准》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农业部公告第235号、农业部公告第560号、农业部公告 第2292号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1.姜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铅（以Pb计）、镉（以Cd计）、氟虫腈、甲拌磷、阿维菌素。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2.黄瓜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铅（以Pb计）、镉（以Cd计）、毒死蜱、甲拌磷、阿维菌素、吡虫啉、腐霉利、克百威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3.茄子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铅（以Pb计）、镉（以Cd计）、阿维菌素、氯氰菊酯和高效氯氰菊酯、甲拌磷、氟虫腈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4.油麦菜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铅（以Pb计）、镉（以Cd计）、倍硫磷、甲胺磷、甲拌磷、甲基异柳磷、克百威、氟虫腈、氧乐果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5.韭菜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铅（以Pb计）、镉（以Cd计）、氯氰菊酯和高效氯氰菊酯、二氧化硫残留量、毒死蜱、腐霉利、甲拌磷、克百威、氧乐果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6.鲜蛋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铅（以Pb计）、镉（以Cd计）、总汞（以Hg计）、氯霉素、呋喃它酮代谢物、呋喃唑酮代谢物、呋喃西林代谢物、呋喃妥因代谢物、氟苯尼考、恩诺沙星（以恩诺沙星与环丙沙星之和计）、氧氟沙星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7.山药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甲胺磷、甲拌磷、铅（以Pb计）、水胺硫磷、氧乐果、乙酰甲胺磷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8.辣椒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铅（以Pb计）、镉（以Cd计）、克百威、氧乐果、甲拌磷、氟虫腈、腐霉利、氯氰菊酯和高效氯氰菊酯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9.豇豆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铅（以Pb计）、镉（以Cd计）、克百威、灭蝇胺、氧乐果、水胺硫磷氟虫腈、阿维菌素、氯氰菊酯和高效氯氰菊酯、甲拌磷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10.苹果</w:t>
      </w: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铅（以Pb计）、镉（以Cd计）、多菌灵、阿维菌素、甲胺磷、甲拌磷、毒死蜱、氯氰菊酯和高效氯氰菊酯、糖精钠（以糖精计）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</w:t>
      </w:r>
      <w:r>
        <w:rPr>
          <w:rFonts w:hint="eastAsia" w:ascii="仿宋_GB2312" w:eastAsia="仿宋_GB2312"/>
          <w:sz w:val="32"/>
          <w:szCs w:val="32"/>
          <w:lang w:eastAsia="zh-CN"/>
        </w:rPr>
        <w:t>为GB 2716-2018 《食品安全国家标准 植物油》、GB 2761-2017 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食用植物调和油抽检项目包括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酸价（KOH)、过氧化值、溶剂残留量、黄曲霉毒素B1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bookmarkEnd w:id="0"/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8BCA"/>
    <w:multiLevelType w:val="singleLevel"/>
    <w:tmpl w:val="19808B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F639E5"/>
    <w:multiLevelType w:val="singleLevel"/>
    <w:tmpl w:val="59F639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20AB"/>
    <w:rsid w:val="0CA81368"/>
    <w:rsid w:val="0CF82885"/>
    <w:rsid w:val="1A9F3DA1"/>
    <w:rsid w:val="28807AFA"/>
    <w:rsid w:val="34264B82"/>
    <w:rsid w:val="429E290F"/>
    <w:rsid w:val="590D24FA"/>
    <w:rsid w:val="75C5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59" w:lineRule="exact"/>
      <w:ind w:left="20"/>
      <w:jc w:val="center"/>
      <w:outlineLvl w:val="0"/>
    </w:pPr>
    <w:rPr>
      <w:rFonts w:ascii="宋体" w:hAnsi="宋体" w:eastAsia="宋体" w:cs="宋体"/>
      <w:b/>
      <w:bCs/>
      <w:sz w:val="36"/>
      <w:szCs w:val="32"/>
      <w:lang w:val="zh-CN" w:bidi="zh-CN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jc w:val="lef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标题 2 字符"/>
    <w:basedOn w:val="7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2019-09-18T02:49:00Z</dcterms:created>
  <dc:creator>Administrator</dc:creator>
  <cp:lastModifiedBy>金闪闪。</cp:lastModifiedBy>
  <cp:lastPrinted>2019-09-19T06:15:03Z</cp:lastPrinted>
  <dcterms:modified xsi:type="dcterms:W3CDTF">2019-09-19T06:15:11Z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