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auto"/>
          <w:sz w:val="36"/>
          <w:szCs w:val="36"/>
        </w:rPr>
      </w:pPr>
      <w:bookmarkStart w:id="0" w:name="_Hlk57883707"/>
    </w:p>
    <w:p>
      <w:pPr>
        <w:rPr>
          <w:rFonts w:eastAsia="仿宋_GB2312"/>
          <w:color w:val="auto"/>
          <w:sz w:val="36"/>
          <w:szCs w:val="36"/>
        </w:rPr>
      </w:pPr>
    </w:p>
    <w:p>
      <w:pPr>
        <w:rPr>
          <w:rFonts w:eastAsia="仿宋_GB2312"/>
          <w:color w:val="auto"/>
          <w:sz w:val="36"/>
          <w:szCs w:val="36"/>
        </w:rPr>
      </w:pPr>
    </w:p>
    <w:p>
      <w:pPr>
        <w:rPr>
          <w:rFonts w:eastAsia="仿宋_GB2312"/>
          <w:color w:val="auto"/>
          <w:sz w:val="36"/>
          <w:szCs w:val="36"/>
        </w:rPr>
      </w:pPr>
    </w:p>
    <w:bookmarkEnd w:id="0"/>
    <w:p>
      <w:pPr>
        <w:adjustRightInd w:val="0"/>
        <w:snapToGrid w:val="0"/>
        <w:jc w:val="center"/>
        <w:outlineLvl w:val="0"/>
        <w:rPr>
          <w:rFonts w:eastAsia="方正小标宋_GBK"/>
          <w:bCs/>
          <w:color w:val="auto"/>
          <w:sz w:val="72"/>
          <w:szCs w:val="72"/>
        </w:rPr>
      </w:pPr>
      <w:r>
        <w:rPr>
          <w:rFonts w:eastAsia="方正小标宋_GBK"/>
          <w:bCs/>
          <w:color w:val="auto"/>
          <w:sz w:val="72"/>
          <w:szCs w:val="72"/>
        </w:rPr>
        <w:t>建设项目环境影响报告表</w:t>
      </w:r>
    </w:p>
    <w:p>
      <w:pPr>
        <w:adjustRightInd w:val="0"/>
        <w:snapToGrid w:val="0"/>
        <w:spacing w:before="192" w:beforeLines="80"/>
        <w:jc w:val="center"/>
        <w:rPr>
          <w:rFonts w:eastAsia="楷体_GB2312"/>
          <w:bCs/>
          <w:color w:val="auto"/>
          <w:sz w:val="48"/>
          <w:szCs w:val="48"/>
        </w:rPr>
      </w:pPr>
      <w:r>
        <w:rPr>
          <w:rFonts w:eastAsia="楷体_GB2312"/>
          <w:bCs/>
          <w:color w:val="auto"/>
          <w:sz w:val="48"/>
          <w:szCs w:val="48"/>
        </w:rPr>
        <w:t>（生态影响类）</w:t>
      </w:r>
    </w:p>
    <w:p>
      <w:pPr>
        <w:adjustRightInd w:val="0"/>
        <w:snapToGrid w:val="0"/>
        <w:spacing w:line="288" w:lineRule="auto"/>
        <w:jc w:val="center"/>
        <w:outlineLvl w:val="0"/>
        <w:rPr>
          <w:rFonts w:eastAsia="华文仿宋"/>
          <w:color w:val="auto"/>
          <w:kern w:val="44"/>
          <w:sz w:val="44"/>
          <w:szCs w:val="44"/>
        </w:rPr>
      </w:pPr>
      <w:bookmarkStart w:id="1" w:name="_Hlk57883728"/>
    </w:p>
    <w:p>
      <w:pPr>
        <w:jc w:val="center"/>
        <w:rPr>
          <w:rFonts w:eastAsia="仿宋"/>
          <w:color w:val="auto"/>
          <w:sz w:val="52"/>
          <w:szCs w:val="52"/>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bookmarkEnd w:id="1"/>
    <w:p>
      <w:pPr>
        <w:adjustRightInd w:val="0"/>
        <w:snapToGrid w:val="0"/>
        <w:spacing w:line="288" w:lineRule="auto"/>
        <w:jc w:val="center"/>
        <w:rPr>
          <w:rFonts w:ascii="Times New Roman" w:hAnsi="Times New Roman" w:eastAsia="仿宋_GB2312" w:cs="Times New Roman"/>
          <w:color w:val="auto"/>
          <w:sz w:val="36"/>
          <w:szCs w:val="36"/>
          <w:u w:val="single"/>
        </w:rPr>
      </w:pPr>
      <w:r>
        <w:rPr>
          <w:rFonts w:eastAsia="仿宋_GB2312"/>
          <w:color w:val="auto"/>
          <w:sz w:val="36"/>
          <w:szCs w:val="36"/>
        </w:rPr>
        <w:t>项目名称：</w:t>
      </w:r>
      <w:r>
        <w:rPr>
          <w:rFonts w:hint="eastAsia" w:ascii="Times New Roman" w:hAnsi="Times New Roman" w:eastAsia="仿宋_GB2312" w:cs="Times New Roman"/>
          <w:color w:val="auto"/>
          <w:sz w:val="36"/>
          <w:szCs w:val="36"/>
          <w:u w:val="single"/>
        </w:rPr>
        <w:t>岚皋县岚河孟石岭镇段防洪工程</w:t>
      </w:r>
    </w:p>
    <w:p>
      <w:pPr>
        <w:adjustRightInd w:val="0"/>
        <w:snapToGrid w:val="0"/>
        <w:spacing w:line="288" w:lineRule="auto"/>
        <w:ind w:firstLine="1040"/>
        <w:rPr>
          <w:rFonts w:eastAsia="仿宋_GB2312"/>
          <w:color w:val="auto"/>
          <w:sz w:val="36"/>
          <w:szCs w:val="36"/>
          <w:u w:val="single"/>
        </w:rPr>
      </w:pPr>
      <w:r>
        <w:rPr>
          <w:rFonts w:eastAsia="仿宋_GB2312"/>
          <w:color w:val="auto"/>
          <w:sz w:val="36"/>
          <w:szCs w:val="36"/>
        </w:rPr>
        <w:t>建设单位（盖章）：</w:t>
      </w:r>
      <w:r>
        <w:rPr>
          <w:rFonts w:hint="eastAsia" w:eastAsia="仿宋_GB2312"/>
          <w:color w:val="auto"/>
          <w:sz w:val="36"/>
          <w:szCs w:val="36"/>
          <w:u w:val="single"/>
          <w:lang w:eastAsia="zh-CN"/>
        </w:rPr>
        <w:t>岚皋县</w:t>
      </w:r>
      <w:r>
        <w:rPr>
          <w:rFonts w:hint="eastAsia" w:eastAsia="仿宋_GB2312"/>
          <w:color w:val="auto"/>
          <w:sz w:val="36"/>
          <w:szCs w:val="36"/>
          <w:u w:val="single"/>
          <w:lang w:val="en-US" w:eastAsia="zh-CN"/>
        </w:rPr>
        <w:t>水利</w:t>
      </w:r>
      <w:r>
        <w:rPr>
          <w:rFonts w:eastAsia="仿宋_GB2312"/>
          <w:color w:val="auto"/>
          <w:sz w:val="36"/>
          <w:szCs w:val="36"/>
          <w:u w:val="single"/>
        </w:rPr>
        <w:t xml:space="preserve">局   </w:t>
      </w:r>
    </w:p>
    <w:p>
      <w:pPr>
        <w:adjustRightInd w:val="0"/>
        <w:snapToGrid w:val="0"/>
        <w:spacing w:line="288" w:lineRule="auto"/>
        <w:ind w:firstLine="1040"/>
        <w:rPr>
          <w:rFonts w:eastAsia="仿宋_GB2312"/>
          <w:color w:val="auto"/>
          <w:sz w:val="36"/>
          <w:szCs w:val="36"/>
          <w:u w:val="single"/>
        </w:rPr>
      </w:pPr>
      <w:r>
        <w:rPr>
          <w:rFonts w:eastAsia="仿宋_GB2312"/>
          <w:color w:val="auto"/>
          <w:sz w:val="36"/>
          <w:szCs w:val="36"/>
        </w:rPr>
        <w:t>编制日期：</w:t>
      </w:r>
      <w:r>
        <w:rPr>
          <w:rFonts w:eastAsia="仿宋_GB2312"/>
          <w:color w:val="auto"/>
          <w:sz w:val="36"/>
          <w:szCs w:val="36"/>
          <w:u w:val="single"/>
        </w:rPr>
        <w:t xml:space="preserve">      二〇二</w:t>
      </w:r>
      <w:r>
        <w:rPr>
          <w:rFonts w:hint="eastAsia" w:eastAsia="仿宋_GB2312"/>
          <w:color w:val="auto"/>
          <w:sz w:val="36"/>
          <w:szCs w:val="36"/>
          <w:u w:val="single"/>
          <w:lang w:val="en-US" w:eastAsia="zh-CN"/>
        </w:rPr>
        <w:t>二</w:t>
      </w:r>
      <w:r>
        <w:rPr>
          <w:rFonts w:eastAsia="仿宋_GB2312"/>
          <w:color w:val="auto"/>
          <w:sz w:val="36"/>
          <w:szCs w:val="36"/>
          <w:u w:val="single"/>
        </w:rPr>
        <w:t xml:space="preserve">年七月       </w:t>
      </w:r>
    </w:p>
    <w:p>
      <w:pPr>
        <w:adjustRightInd w:val="0"/>
        <w:snapToGrid w:val="0"/>
        <w:spacing w:line="288" w:lineRule="auto"/>
        <w:ind w:firstLine="1040"/>
        <w:rPr>
          <w:rFonts w:eastAsia="仿宋_GB2312"/>
          <w:color w:val="auto"/>
          <w:sz w:val="36"/>
          <w:szCs w:val="36"/>
          <w:u w:val="single"/>
        </w:rPr>
      </w:pPr>
    </w:p>
    <w:p>
      <w:pPr>
        <w:adjustRightInd w:val="0"/>
        <w:snapToGrid w:val="0"/>
        <w:spacing w:line="288" w:lineRule="auto"/>
        <w:ind w:firstLine="1040"/>
        <w:rPr>
          <w:rFonts w:eastAsia="仿宋_GB2312"/>
          <w:color w:val="auto"/>
          <w:sz w:val="36"/>
          <w:szCs w:val="36"/>
        </w:rPr>
      </w:pPr>
    </w:p>
    <w:p>
      <w:pPr>
        <w:adjustRightInd w:val="0"/>
        <w:snapToGrid w:val="0"/>
        <w:spacing w:line="288" w:lineRule="auto"/>
        <w:ind w:firstLine="1040"/>
        <w:rPr>
          <w:rFonts w:eastAsia="仿宋_GB2312"/>
          <w:color w:val="auto"/>
          <w:sz w:val="36"/>
          <w:szCs w:val="36"/>
        </w:rPr>
      </w:pPr>
    </w:p>
    <w:p>
      <w:pPr>
        <w:adjustRightInd w:val="0"/>
        <w:snapToGrid w:val="0"/>
        <w:spacing w:line="288" w:lineRule="auto"/>
        <w:ind w:firstLine="1040"/>
        <w:rPr>
          <w:rFonts w:eastAsia="仿宋_GB2312"/>
          <w:color w:val="auto"/>
          <w:sz w:val="36"/>
          <w:szCs w:val="36"/>
        </w:rPr>
      </w:pPr>
    </w:p>
    <w:p>
      <w:pPr>
        <w:adjustRightInd w:val="0"/>
        <w:snapToGrid w:val="0"/>
        <w:spacing w:line="288" w:lineRule="auto"/>
        <w:ind w:firstLine="1040"/>
        <w:rPr>
          <w:rFonts w:eastAsia="仿宋_GB2312"/>
          <w:color w:val="auto"/>
          <w:sz w:val="36"/>
          <w:szCs w:val="36"/>
        </w:rPr>
      </w:pPr>
    </w:p>
    <w:p>
      <w:pPr>
        <w:adjustRightInd w:val="0"/>
        <w:snapToGrid w:val="0"/>
        <w:spacing w:line="288" w:lineRule="auto"/>
        <w:jc w:val="center"/>
        <w:rPr>
          <w:rFonts w:eastAsia="楷体_GB2312"/>
          <w:color w:val="auto"/>
          <w:sz w:val="36"/>
          <w:szCs w:val="36"/>
        </w:rPr>
      </w:pPr>
      <w:r>
        <w:rPr>
          <w:rFonts w:eastAsia="楷体_GB2312"/>
          <w:color w:val="auto"/>
          <w:sz w:val="36"/>
          <w:szCs w:val="36"/>
        </w:rPr>
        <w:t>中华人民共和国生态环境部制</w:t>
      </w:r>
    </w:p>
    <w:p>
      <w:pPr>
        <w:adjustRightInd w:val="0"/>
        <w:snapToGrid w:val="0"/>
        <w:spacing w:line="288" w:lineRule="auto"/>
        <w:ind w:firstLine="1040"/>
        <w:rPr>
          <w:rFonts w:eastAsia="仿宋_GB2312"/>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fmt="decimal" w:start="21"/>
          <w:cols w:space="720" w:num="1"/>
          <w:docGrid w:linePitch="312" w:charSpace="0"/>
        </w:sectPr>
      </w:pPr>
    </w:p>
    <w:p>
      <w:pPr>
        <w:pStyle w:val="15"/>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一、建设项目基本情况</w:t>
      </w:r>
    </w:p>
    <w:tbl>
      <w:tblPr>
        <w:tblStyle w:val="18"/>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43"/>
        <w:gridCol w:w="2426"/>
        <w:gridCol w:w="2218"/>
        <w:gridCol w:w="10"/>
        <w:gridCol w:w="25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843" w:type="dxa"/>
            <w:tcMar>
              <w:top w:w="16" w:type="dxa"/>
              <w:left w:w="16" w:type="dxa"/>
              <w:right w:w="16" w:type="dxa"/>
            </w:tcMar>
            <w:vAlign w:val="center"/>
          </w:tcPr>
          <w:p>
            <w:pPr>
              <w:adjustRightInd w:val="0"/>
              <w:snapToGrid w:val="0"/>
              <w:jc w:val="center"/>
              <w:rPr>
                <w:color w:val="auto"/>
                <w:szCs w:val="21"/>
              </w:rPr>
            </w:pPr>
            <w:r>
              <w:rPr>
                <w:color w:val="auto"/>
                <w:szCs w:val="21"/>
              </w:rPr>
              <w:t>建设项目名称</w:t>
            </w:r>
          </w:p>
        </w:tc>
        <w:tc>
          <w:tcPr>
            <w:tcW w:w="7196" w:type="dxa"/>
            <w:gridSpan w:val="4"/>
            <w:vAlign w:val="center"/>
          </w:tcPr>
          <w:p>
            <w:pPr>
              <w:pStyle w:val="64"/>
              <w:keepNext w:val="0"/>
              <w:keepLines w:val="0"/>
              <w:pageBreakBefore w:val="0"/>
              <w:widowControl w:val="0"/>
              <w:kinsoku/>
              <w:wordWrap/>
              <w:overflowPunct/>
              <w:topLinePunct w:val="0"/>
              <w:autoSpaceDE/>
              <w:autoSpaceDN/>
              <w:bidi w:val="0"/>
              <w:adjustRightInd/>
              <w:snapToGrid/>
              <w:spacing w:line="240" w:lineRule="auto"/>
              <w:textAlignment w:val="auto"/>
              <w:rPr>
                <w:color w:val="auto"/>
                <w:szCs w:val="21"/>
              </w:rPr>
            </w:pPr>
            <w:r>
              <w:rPr>
                <w:rFonts w:hint="eastAsia" w:ascii="Times New Roman" w:hAnsi="Times New Roman" w:eastAsia="宋体" w:cs="Times New Roman"/>
                <w:color w:val="auto"/>
                <w:kern w:val="2"/>
                <w:sz w:val="21"/>
                <w:szCs w:val="21"/>
                <w:lang w:val="en-US" w:eastAsia="zh-CN" w:bidi="ar-SA"/>
              </w:rPr>
              <w:t>岚皋县岚河孟石岭镇段防洪工程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843" w:type="dxa"/>
            <w:tcMar>
              <w:top w:w="16" w:type="dxa"/>
              <w:left w:w="16" w:type="dxa"/>
              <w:right w:w="16" w:type="dxa"/>
            </w:tcMar>
            <w:vAlign w:val="center"/>
          </w:tcPr>
          <w:p>
            <w:pPr>
              <w:adjustRightInd w:val="0"/>
              <w:snapToGrid w:val="0"/>
              <w:jc w:val="center"/>
              <w:rPr>
                <w:color w:val="auto"/>
                <w:szCs w:val="21"/>
              </w:rPr>
            </w:pPr>
            <w:r>
              <w:rPr>
                <w:color w:val="auto"/>
                <w:szCs w:val="21"/>
              </w:rPr>
              <w:t>项目代码</w:t>
            </w:r>
          </w:p>
        </w:tc>
        <w:tc>
          <w:tcPr>
            <w:tcW w:w="7196" w:type="dxa"/>
            <w:gridSpan w:val="4"/>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2204</w:t>
            </w:r>
            <w:r>
              <w:rPr>
                <w:color w:val="auto"/>
                <w:szCs w:val="21"/>
              </w:rPr>
              <w:t>-610</w:t>
            </w:r>
            <w:r>
              <w:rPr>
                <w:rFonts w:hint="eastAsia"/>
                <w:color w:val="auto"/>
                <w:szCs w:val="21"/>
                <w:lang w:val="en-US" w:eastAsia="zh-CN"/>
              </w:rPr>
              <w:t>925</w:t>
            </w:r>
            <w:r>
              <w:rPr>
                <w:color w:val="auto"/>
                <w:szCs w:val="21"/>
              </w:rPr>
              <w:t>-</w:t>
            </w:r>
            <w:r>
              <w:rPr>
                <w:rFonts w:hint="eastAsia"/>
                <w:color w:val="auto"/>
                <w:szCs w:val="21"/>
                <w:lang w:val="en-US" w:eastAsia="zh-CN"/>
              </w:rPr>
              <w:t>04</w:t>
            </w:r>
            <w:r>
              <w:rPr>
                <w:color w:val="auto"/>
                <w:szCs w:val="21"/>
              </w:rPr>
              <w:t>-01-</w:t>
            </w:r>
            <w:r>
              <w:rPr>
                <w:rFonts w:hint="eastAsia"/>
                <w:color w:val="auto"/>
                <w:szCs w:val="21"/>
                <w:lang w:val="en-US" w:eastAsia="zh-CN"/>
              </w:rPr>
              <w:t>805608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843" w:type="dxa"/>
            <w:tcMar>
              <w:top w:w="16" w:type="dxa"/>
              <w:left w:w="16" w:type="dxa"/>
              <w:right w:w="16" w:type="dxa"/>
            </w:tcMar>
            <w:vAlign w:val="center"/>
          </w:tcPr>
          <w:p>
            <w:pPr>
              <w:adjustRightInd w:val="0"/>
              <w:snapToGrid w:val="0"/>
              <w:jc w:val="center"/>
              <w:rPr>
                <w:color w:val="auto"/>
                <w:szCs w:val="21"/>
              </w:rPr>
            </w:pPr>
            <w:r>
              <w:rPr>
                <w:color w:val="auto"/>
                <w:szCs w:val="21"/>
              </w:rPr>
              <w:t>建设单位联系人</w:t>
            </w:r>
          </w:p>
        </w:tc>
        <w:tc>
          <w:tcPr>
            <w:tcW w:w="2426" w:type="dxa"/>
            <w:vAlign w:val="center"/>
          </w:tcPr>
          <w:p>
            <w:pPr>
              <w:adjustRightInd w:val="0"/>
              <w:snapToGrid w:val="0"/>
              <w:jc w:val="center"/>
              <w:rPr>
                <w:rFonts w:hint="eastAsia" w:eastAsia="宋体"/>
                <w:color w:val="auto"/>
                <w:szCs w:val="21"/>
                <w:lang w:eastAsia="zh-CN"/>
              </w:rPr>
            </w:pPr>
            <w:r>
              <w:rPr>
                <w:rFonts w:hint="eastAsia"/>
                <w:color w:val="auto"/>
                <w:szCs w:val="21"/>
                <w:lang w:eastAsia="zh-CN"/>
              </w:rPr>
              <w:t>田川</w:t>
            </w:r>
          </w:p>
        </w:tc>
        <w:tc>
          <w:tcPr>
            <w:tcW w:w="2228" w:type="dxa"/>
            <w:gridSpan w:val="2"/>
            <w:vAlign w:val="center"/>
          </w:tcPr>
          <w:p>
            <w:pPr>
              <w:adjustRightInd w:val="0"/>
              <w:snapToGrid w:val="0"/>
              <w:jc w:val="center"/>
              <w:rPr>
                <w:color w:val="auto"/>
                <w:szCs w:val="21"/>
              </w:rPr>
            </w:pPr>
            <w:r>
              <w:rPr>
                <w:color w:val="auto"/>
                <w:szCs w:val="21"/>
              </w:rPr>
              <w:t>联系方式</w:t>
            </w:r>
          </w:p>
        </w:tc>
        <w:tc>
          <w:tcPr>
            <w:tcW w:w="2542" w:type="dxa"/>
            <w:vAlign w:val="center"/>
          </w:tcPr>
          <w:p>
            <w:pPr>
              <w:adjustRightInd w:val="0"/>
              <w:snapToGrid w:val="0"/>
              <w:jc w:val="center"/>
              <w:rPr>
                <w:rFonts w:hint="default" w:eastAsia="宋体"/>
                <w:color w:val="auto"/>
                <w:szCs w:val="21"/>
                <w:lang w:val="en-US" w:eastAsia="zh-CN"/>
              </w:rPr>
            </w:pPr>
            <w:r>
              <w:rPr>
                <w:rFonts w:hint="eastAsia"/>
                <w:color w:val="auto"/>
                <w:szCs w:val="21"/>
              </w:rPr>
              <w:t>15109150980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843" w:type="dxa"/>
            <w:tcMar>
              <w:top w:w="16" w:type="dxa"/>
              <w:left w:w="16" w:type="dxa"/>
              <w:right w:w="16" w:type="dxa"/>
            </w:tcMar>
            <w:vAlign w:val="center"/>
          </w:tcPr>
          <w:p>
            <w:pPr>
              <w:adjustRightInd w:val="0"/>
              <w:snapToGrid w:val="0"/>
              <w:jc w:val="center"/>
              <w:rPr>
                <w:color w:val="auto"/>
                <w:szCs w:val="21"/>
              </w:rPr>
            </w:pPr>
            <w:r>
              <w:rPr>
                <w:color w:val="auto"/>
                <w:szCs w:val="21"/>
              </w:rPr>
              <w:t>建设地点</w:t>
            </w:r>
          </w:p>
        </w:tc>
        <w:tc>
          <w:tcPr>
            <w:tcW w:w="7196" w:type="dxa"/>
            <w:gridSpan w:val="4"/>
            <w:vAlign w:val="center"/>
          </w:tcPr>
          <w:p>
            <w:pPr>
              <w:adjustRightInd w:val="0"/>
              <w:snapToGrid w:val="0"/>
              <w:jc w:val="center"/>
              <w:rPr>
                <w:color w:val="auto"/>
                <w:szCs w:val="21"/>
              </w:rPr>
            </w:pPr>
            <w:r>
              <w:rPr>
                <w:color w:val="auto"/>
                <w:szCs w:val="21"/>
                <w:u w:val="single"/>
              </w:rPr>
              <w:t xml:space="preserve">  陕西  </w:t>
            </w:r>
            <w:r>
              <w:rPr>
                <w:color w:val="auto"/>
                <w:szCs w:val="21"/>
              </w:rPr>
              <w:t>省</w:t>
            </w:r>
            <w:r>
              <w:rPr>
                <w:color w:val="auto"/>
                <w:szCs w:val="21"/>
                <w:u w:val="single"/>
              </w:rPr>
              <w:t xml:space="preserve">  </w:t>
            </w:r>
            <w:r>
              <w:rPr>
                <w:rFonts w:hint="eastAsia"/>
                <w:color w:val="auto"/>
                <w:szCs w:val="21"/>
                <w:u w:val="single"/>
                <w:lang w:val="en-US" w:eastAsia="zh-CN"/>
              </w:rPr>
              <w:t>安康</w:t>
            </w:r>
            <w:r>
              <w:rPr>
                <w:color w:val="auto"/>
                <w:szCs w:val="21"/>
                <w:u w:val="single"/>
              </w:rPr>
              <w:t xml:space="preserve"> </w:t>
            </w:r>
            <w:r>
              <w:rPr>
                <w:color w:val="auto"/>
                <w:szCs w:val="21"/>
              </w:rPr>
              <w:t>市</w:t>
            </w:r>
            <w:r>
              <w:rPr>
                <w:color w:val="auto"/>
                <w:szCs w:val="21"/>
                <w:u w:val="single"/>
              </w:rPr>
              <w:t xml:space="preserve">  </w:t>
            </w:r>
            <w:r>
              <w:rPr>
                <w:rFonts w:hint="eastAsia"/>
                <w:color w:val="auto"/>
                <w:szCs w:val="21"/>
                <w:u w:val="single"/>
                <w:lang w:val="en-US" w:eastAsia="zh-CN"/>
              </w:rPr>
              <w:t>岚皋</w:t>
            </w:r>
            <w:r>
              <w:rPr>
                <w:color w:val="auto"/>
                <w:szCs w:val="21"/>
                <w:u w:val="single"/>
              </w:rPr>
              <w:t xml:space="preserve"> </w:t>
            </w:r>
            <w:r>
              <w:rPr>
                <w:color w:val="auto"/>
                <w:szCs w:val="21"/>
              </w:rPr>
              <w:t>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843" w:type="dxa"/>
            <w:tcMar>
              <w:top w:w="16" w:type="dxa"/>
              <w:left w:w="16" w:type="dxa"/>
              <w:right w:w="16" w:type="dxa"/>
            </w:tcMar>
            <w:vAlign w:val="center"/>
          </w:tcPr>
          <w:p>
            <w:pPr>
              <w:adjustRightInd w:val="0"/>
              <w:snapToGrid w:val="0"/>
              <w:jc w:val="center"/>
              <w:rPr>
                <w:color w:val="auto"/>
                <w:szCs w:val="21"/>
              </w:rPr>
            </w:pPr>
            <w:r>
              <w:rPr>
                <w:color w:val="auto"/>
                <w:szCs w:val="21"/>
              </w:rPr>
              <w:t>地理坐标</w:t>
            </w:r>
          </w:p>
        </w:tc>
        <w:tc>
          <w:tcPr>
            <w:tcW w:w="7196" w:type="dxa"/>
            <w:gridSpan w:val="4"/>
            <w:vAlign w:val="center"/>
          </w:tcPr>
          <w:p>
            <w:pPr>
              <w:adjustRightInd w:val="0"/>
              <w:snapToGrid w:val="0"/>
              <w:jc w:val="both"/>
              <w:rPr>
                <w:color w:val="auto"/>
              </w:rPr>
            </w:pPr>
            <w:r>
              <w:rPr>
                <w:rFonts w:hint="eastAsia"/>
                <w:color w:val="auto"/>
                <w:lang w:eastAsia="zh-CN"/>
              </w:rPr>
              <w:t>岚</w:t>
            </w:r>
            <w:r>
              <w:rPr>
                <w:rFonts w:hint="eastAsia"/>
                <w:color w:val="auto"/>
                <w:lang w:val="en-US" w:eastAsia="zh-CN"/>
              </w:rPr>
              <w:t xml:space="preserve"> </w:t>
            </w:r>
            <w:r>
              <w:rPr>
                <w:rFonts w:hint="eastAsia"/>
                <w:color w:val="auto"/>
                <w:lang w:eastAsia="zh-CN"/>
              </w:rPr>
              <w:t>河</w:t>
            </w:r>
            <w:r>
              <w:rPr>
                <w:rFonts w:hint="eastAsia"/>
                <w:color w:val="auto"/>
                <w:lang w:val="en-US" w:eastAsia="zh-CN"/>
              </w:rPr>
              <w:t xml:space="preserve"> </w:t>
            </w:r>
            <w:r>
              <w:rPr>
                <w:rFonts w:hint="eastAsia"/>
                <w:color w:val="auto"/>
                <w:lang w:eastAsia="zh-CN"/>
              </w:rPr>
              <w:t>段：</w:t>
            </w:r>
            <w:r>
              <w:rPr>
                <w:color w:val="auto"/>
              </w:rPr>
              <w:t>起点（</w:t>
            </w:r>
            <w:r>
              <w:rPr>
                <w:rFonts w:hint="default"/>
                <w:color w:val="auto"/>
                <w:kern w:val="0"/>
                <w:szCs w:val="21"/>
                <w:lang w:val="en-US" w:eastAsia="zh-CN"/>
              </w:rPr>
              <w:t>109</w:t>
            </w:r>
            <w:r>
              <w:rPr>
                <w:color w:val="auto"/>
              </w:rPr>
              <w:t>度</w:t>
            </w:r>
            <w:r>
              <w:rPr>
                <w:rFonts w:hint="default"/>
                <w:color w:val="auto"/>
                <w:kern w:val="0"/>
                <w:szCs w:val="21"/>
                <w:lang w:val="en-US" w:eastAsia="zh-CN"/>
              </w:rPr>
              <w:t>5</w:t>
            </w:r>
            <w:r>
              <w:rPr>
                <w:color w:val="auto"/>
              </w:rPr>
              <w:t>分</w:t>
            </w:r>
            <w:r>
              <w:rPr>
                <w:rFonts w:hint="default"/>
                <w:color w:val="auto"/>
                <w:kern w:val="0"/>
                <w:szCs w:val="21"/>
                <w:lang w:val="en-US" w:eastAsia="zh-CN"/>
              </w:rPr>
              <w:t>40.49</w:t>
            </w:r>
            <w:r>
              <w:rPr>
                <w:rFonts w:hint="eastAsia"/>
                <w:color w:val="auto"/>
                <w:kern w:val="0"/>
                <w:szCs w:val="21"/>
                <w:lang w:val="en-US" w:eastAsia="zh-CN"/>
              </w:rPr>
              <w:t>2</w:t>
            </w:r>
            <w:r>
              <w:rPr>
                <w:color w:val="auto"/>
              </w:rPr>
              <w:t>秒，</w:t>
            </w:r>
            <w:r>
              <w:rPr>
                <w:rFonts w:hint="eastAsia"/>
                <w:color w:val="auto"/>
                <w:lang w:val="en-US" w:eastAsia="zh-CN"/>
              </w:rPr>
              <w:t>32</w:t>
            </w:r>
            <w:r>
              <w:rPr>
                <w:color w:val="auto"/>
              </w:rPr>
              <w:t>度</w:t>
            </w:r>
            <w:r>
              <w:rPr>
                <w:rFonts w:hint="eastAsia"/>
                <w:color w:val="auto"/>
                <w:lang w:val="en-US" w:eastAsia="zh-CN"/>
              </w:rPr>
              <w:t>9</w:t>
            </w:r>
            <w:r>
              <w:rPr>
                <w:color w:val="auto"/>
              </w:rPr>
              <w:t>分</w:t>
            </w:r>
            <w:r>
              <w:rPr>
                <w:rFonts w:hint="eastAsia"/>
                <w:color w:val="auto"/>
                <w:lang w:val="en-US" w:eastAsia="zh-CN"/>
              </w:rPr>
              <w:t>21.033</w:t>
            </w:r>
            <w:r>
              <w:rPr>
                <w:color w:val="auto"/>
              </w:rPr>
              <w:t>秒）</w:t>
            </w:r>
          </w:p>
          <w:p>
            <w:pPr>
              <w:adjustRightInd w:val="0"/>
              <w:snapToGrid w:val="0"/>
              <w:ind w:firstLine="1050" w:firstLineChars="500"/>
              <w:jc w:val="both"/>
              <w:rPr>
                <w:color w:val="auto"/>
              </w:rPr>
            </w:pPr>
            <w:r>
              <w:rPr>
                <w:color w:val="auto"/>
              </w:rPr>
              <w:t>终点（</w:t>
            </w:r>
            <w:r>
              <w:rPr>
                <w:rFonts w:hint="default"/>
                <w:color w:val="auto"/>
                <w:kern w:val="0"/>
                <w:szCs w:val="21"/>
                <w:lang w:val="en-US" w:eastAsia="zh-CN"/>
              </w:rPr>
              <w:t>109</w:t>
            </w:r>
            <w:r>
              <w:rPr>
                <w:color w:val="auto"/>
              </w:rPr>
              <w:t>度</w:t>
            </w:r>
            <w:r>
              <w:rPr>
                <w:rFonts w:hint="eastAsia"/>
                <w:color w:val="auto"/>
                <w:kern w:val="0"/>
                <w:szCs w:val="21"/>
                <w:lang w:val="en-US" w:eastAsia="zh-CN"/>
              </w:rPr>
              <w:t>0</w:t>
            </w:r>
            <w:r>
              <w:rPr>
                <w:color w:val="auto"/>
              </w:rPr>
              <w:t>分</w:t>
            </w:r>
            <w:r>
              <w:rPr>
                <w:rFonts w:hint="eastAsia"/>
                <w:color w:val="auto"/>
                <w:kern w:val="0"/>
                <w:szCs w:val="21"/>
                <w:lang w:val="en-US" w:eastAsia="zh-CN"/>
              </w:rPr>
              <w:t>47.421</w:t>
            </w:r>
            <w:r>
              <w:rPr>
                <w:color w:val="auto"/>
              </w:rPr>
              <w:t>秒，</w:t>
            </w:r>
            <w:r>
              <w:rPr>
                <w:rFonts w:hint="eastAsia"/>
                <w:color w:val="auto"/>
                <w:lang w:val="en-US" w:eastAsia="zh-CN"/>
              </w:rPr>
              <w:t>32</w:t>
            </w:r>
            <w:r>
              <w:rPr>
                <w:color w:val="auto"/>
              </w:rPr>
              <w:t>度</w:t>
            </w:r>
            <w:r>
              <w:rPr>
                <w:rFonts w:hint="eastAsia"/>
                <w:color w:val="auto"/>
                <w:lang w:val="en-US" w:eastAsia="zh-CN"/>
              </w:rPr>
              <w:t>12</w:t>
            </w:r>
            <w:r>
              <w:rPr>
                <w:color w:val="auto"/>
              </w:rPr>
              <w:t>分</w:t>
            </w:r>
            <w:r>
              <w:rPr>
                <w:rFonts w:hint="eastAsia"/>
                <w:color w:val="auto"/>
                <w:lang w:val="en-US" w:eastAsia="zh-CN"/>
              </w:rPr>
              <w:t>52.756</w:t>
            </w:r>
            <w:r>
              <w:rPr>
                <w:color w:val="auto"/>
              </w:rPr>
              <w:t>秒</w:t>
            </w:r>
          </w:p>
          <w:p>
            <w:pPr>
              <w:adjustRightInd w:val="0"/>
              <w:snapToGrid w:val="0"/>
              <w:jc w:val="both"/>
              <w:rPr>
                <w:color w:val="auto"/>
              </w:rPr>
            </w:pPr>
            <w:r>
              <w:rPr>
                <w:rFonts w:hint="eastAsia" w:ascii="Times New Roman" w:hAnsi="Times New Roman" w:eastAsia="宋体" w:cs="Times New Roman"/>
                <w:color w:val="auto"/>
                <w:kern w:val="2"/>
                <w:sz w:val="21"/>
                <w:szCs w:val="24"/>
                <w:lang w:val="en-US" w:eastAsia="zh-CN" w:bidi="ar-SA"/>
              </w:rPr>
              <w:t>大盘河</w:t>
            </w:r>
            <w:r>
              <w:rPr>
                <w:rFonts w:hint="eastAsia" w:cs="Times New Roman"/>
                <w:color w:val="auto"/>
                <w:kern w:val="2"/>
                <w:sz w:val="21"/>
                <w:szCs w:val="24"/>
                <w:lang w:val="en-US" w:eastAsia="zh-CN" w:bidi="ar-SA"/>
              </w:rPr>
              <w:t>段</w:t>
            </w:r>
            <w:r>
              <w:rPr>
                <w:rFonts w:hint="eastAsia" w:ascii="Times New Roman" w:hAnsi="Times New Roman" w:eastAsia="宋体" w:cs="Times New Roman"/>
                <w:color w:val="auto"/>
                <w:kern w:val="2"/>
                <w:sz w:val="21"/>
                <w:szCs w:val="24"/>
                <w:lang w:val="en-US" w:eastAsia="zh-CN" w:bidi="ar-SA"/>
              </w:rPr>
              <w:t>：</w:t>
            </w:r>
            <w:r>
              <w:rPr>
                <w:color w:val="auto"/>
              </w:rPr>
              <w:t>起点（1</w:t>
            </w:r>
            <w:r>
              <w:rPr>
                <w:rFonts w:hint="eastAsia"/>
                <w:color w:val="auto"/>
                <w:lang w:val="en-US" w:eastAsia="zh-CN"/>
              </w:rPr>
              <w:t>08</w:t>
            </w:r>
            <w:r>
              <w:rPr>
                <w:color w:val="auto"/>
              </w:rPr>
              <w:t>度</w:t>
            </w:r>
            <w:r>
              <w:rPr>
                <w:rFonts w:hint="eastAsia"/>
                <w:color w:val="auto"/>
                <w:lang w:val="en-US" w:eastAsia="zh-CN"/>
              </w:rPr>
              <w:t>45</w:t>
            </w:r>
            <w:r>
              <w:rPr>
                <w:color w:val="auto"/>
              </w:rPr>
              <w:t>分3</w:t>
            </w:r>
            <w:r>
              <w:rPr>
                <w:rFonts w:hint="eastAsia"/>
                <w:color w:val="auto"/>
                <w:lang w:val="en-US" w:eastAsia="zh-CN"/>
              </w:rPr>
              <w:t>2.535</w:t>
            </w:r>
            <w:r>
              <w:rPr>
                <w:color w:val="auto"/>
              </w:rPr>
              <w:t xml:space="preserve"> 秒，</w:t>
            </w:r>
            <w:r>
              <w:rPr>
                <w:rFonts w:hint="eastAsia"/>
                <w:color w:val="auto"/>
                <w:lang w:val="en-US" w:eastAsia="zh-CN"/>
              </w:rPr>
              <w:t>32</w:t>
            </w:r>
            <w:r>
              <w:rPr>
                <w:color w:val="auto"/>
              </w:rPr>
              <w:t>度</w:t>
            </w:r>
            <w:r>
              <w:rPr>
                <w:rFonts w:hint="eastAsia"/>
                <w:color w:val="auto"/>
                <w:lang w:val="en-US" w:eastAsia="zh-CN"/>
              </w:rPr>
              <w:t>15</w:t>
            </w:r>
            <w:r>
              <w:rPr>
                <w:color w:val="auto"/>
              </w:rPr>
              <w:t>分</w:t>
            </w:r>
            <w:r>
              <w:rPr>
                <w:rFonts w:hint="eastAsia"/>
                <w:color w:val="auto"/>
                <w:lang w:val="en-US" w:eastAsia="zh-CN"/>
              </w:rPr>
              <w:t>9.51</w:t>
            </w:r>
            <w:r>
              <w:rPr>
                <w:color w:val="auto"/>
              </w:rPr>
              <w:t>3秒）</w:t>
            </w:r>
          </w:p>
          <w:p>
            <w:pPr>
              <w:pStyle w:val="2"/>
              <w:ind w:firstLine="1050" w:firstLineChars="500"/>
              <w:rPr>
                <w:rFonts w:hint="eastAsia" w:eastAsia="宋体"/>
                <w:color w:val="auto"/>
                <w:lang w:eastAsia="zh-CN"/>
              </w:rPr>
            </w:pPr>
            <w:r>
              <w:rPr>
                <w:rFonts w:ascii="Times New Roman" w:hAnsi="Times New Roman" w:eastAsia="宋体" w:cs="Times New Roman"/>
                <w:color w:val="auto"/>
                <w:kern w:val="2"/>
                <w:sz w:val="21"/>
                <w:szCs w:val="24"/>
                <w:lang w:val="en-US" w:eastAsia="zh-CN" w:bidi="ar-SA"/>
              </w:rPr>
              <w:t>终点</w:t>
            </w:r>
            <w:r>
              <w:rPr>
                <w:rFonts w:ascii="Times New Roman" w:hAnsi="Times New Roman" w:eastAsia="宋体" w:cs="Times New Roman"/>
                <w:color w:val="auto"/>
                <w:kern w:val="2"/>
                <w:sz w:val="21"/>
                <w:szCs w:val="21"/>
                <w:lang w:val="en-US" w:eastAsia="zh-CN" w:bidi="ar-SA"/>
              </w:rPr>
              <w:t>（</w:t>
            </w:r>
            <w:r>
              <w:rPr>
                <w:color w:val="auto"/>
                <w:sz w:val="21"/>
                <w:szCs w:val="21"/>
              </w:rPr>
              <w:t>1</w:t>
            </w:r>
            <w:r>
              <w:rPr>
                <w:rFonts w:hint="eastAsia"/>
                <w:color w:val="auto"/>
                <w:sz w:val="21"/>
                <w:szCs w:val="21"/>
                <w:lang w:val="en-US" w:eastAsia="zh-CN"/>
              </w:rPr>
              <w:t>08</w:t>
            </w:r>
            <w:r>
              <w:rPr>
                <w:color w:val="auto"/>
                <w:sz w:val="21"/>
                <w:szCs w:val="21"/>
              </w:rPr>
              <w:t>度</w:t>
            </w:r>
            <w:r>
              <w:rPr>
                <w:rFonts w:hint="eastAsia"/>
                <w:color w:val="auto"/>
                <w:sz w:val="21"/>
                <w:szCs w:val="21"/>
                <w:lang w:val="en-US" w:eastAsia="zh-CN"/>
              </w:rPr>
              <w:t>45</w:t>
            </w:r>
            <w:r>
              <w:rPr>
                <w:color w:val="auto"/>
                <w:sz w:val="21"/>
                <w:szCs w:val="21"/>
              </w:rPr>
              <w:t>分</w:t>
            </w:r>
            <w:r>
              <w:rPr>
                <w:rFonts w:hint="eastAsia"/>
                <w:color w:val="auto"/>
                <w:sz w:val="21"/>
                <w:szCs w:val="21"/>
                <w:lang w:val="en-US" w:eastAsia="zh-CN"/>
              </w:rPr>
              <w:t>29.526</w:t>
            </w:r>
            <w:r>
              <w:rPr>
                <w:color w:val="auto"/>
                <w:sz w:val="21"/>
                <w:szCs w:val="21"/>
              </w:rPr>
              <w:t>秒，</w:t>
            </w:r>
            <w:r>
              <w:rPr>
                <w:rFonts w:hint="eastAsia"/>
                <w:color w:val="auto"/>
                <w:sz w:val="21"/>
                <w:szCs w:val="21"/>
                <w:lang w:val="en-US" w:eastAsia="zh-CN"/>
              </w:rPr>
              <w:t>32</w:t>
            </w:r>
            <w:r>
              <w:rPr>
                <w:color w:val="auto"/>
                <w:sz w:val="21"/>
                <w:szCs w:val="21"/>
              </w:rPr>
              <w:t>度</w:t>
            </w:r>
            <w:r>
              <w:rPr>
                <w:rFonts w:hint="eastAsia"/>
                <w:color w:val="auto"/>
                <w:sz w:val="21"/>
                <w:szCs w:val="21"/>
                <w:lang w:val="en-US" w:eastAsia="zh-CN"/>
              </w:rPr>
              <w:t>15</w:t>
            </w:r>
            <w:r>
              <w:rPr>
                <w:color w:val="auto"/>
                <w:sz w:val="21"/>
                <w:szCs w:val="21"/>
              </w:rPr>
              <w:t>分</w:t>
            </w:r>
            <w:r>
              <w:rPr>
                <w:rFonts w:hint="eastAsia"/>
                <w:color w:val="auto"/>
                <w:sz w:val="21"/>
                <w:szCs w:val="21"/>
                <w:lang w:val="en-US" w:eastAsia="zh-CN"/>
              </w:rPr>
              <w:t>17.743</w:t>
            </w:r>
            <w:r>
              <w:rPr>
                <w:color w:val="auto"/>
                <w:sz w:val="21"/>
                <w:szCs w:val="21"/>
              </w:rPr>
              <w:t>秒</w:t>
            </w:r>
            <w:r>
              <w:rPr>
                <w:rFonts w:ascii="Times New Roman" w:hAnsi="Times New Roman" w:eastAsia="宋体" w:cs="Times New Roman"/>
                <w:color w:val="auto"/>
                <w:kern w:val="2"/>
                <w:sz w:val="21"/>
                <w:szCs w:val="21"/>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1843" w:type="dxa"/>
            <w:tcMar>
              <w:top w:w="16" w:type="dxa"/>
              <w:left w:w="16" w:type="dxa"/>
              <w:right w:w="16" w:type="dxa"/>
            </w:tcMar>
            <w:vAlign w:val="center"/>
          </w:tcPr>
          <w:p>
            <w:pPr>
              <w:adjustRightInd w:val="0"/>
              <w:snapToGrid w:val="0"/>
              <w:jc w:val="center"/>
              <w:rPr>
                <w:color w:val="auto"/>
                <w:szCs w:val="21"/>
              </w:rPr>
            </w:pPr>
            <w:r>
              <w:rPr>
                <w:color w:val="auto"/>
                <w:szCs w:val="21"/>
              </w:rPr>
              <w:t>建设项目</w:t>
            </w:r>
          </w:p>
          <w:p>
            <w:pPr>
              <w:adjustRightInd w:val="0"/>
              <w:snapToGrid w:val="0"/>
              <w:jc w:val="center"/>
              <w:rPr>
                <w:color w:val="auto"/>
                <w:szCs w:val="21"/>
              </w:rPr>
            </w:pPr>
            <w:r>
              <w:rPr>
                <w:color w:val="auto"/>
                <w:szCs w:val="21"/>
              </w:rPr>
              <w:t>行业类别</w:t>
            </w:r>
          </w:p>
        </w:tc>
        <w:tc>
          <w:tcPr>
            <w:tcW w:w="2426" w:type="dxa"/>
            <w:vAlign w:val="center"/>
          </w:tcPr>
          <w:p>
            <w:pPr>
              <w:adjustRightInd w:val="0"/>
              <w:snapToGrid w:val="0"/>
              <w:jc w:val="center"/>
              <w:rPr>
                <w:color w:val="auto"/>
                <w:szCs w:val="21"/>
              </w:rPr>
            </w:pPr>
            <w:r>
              <w:rPr>
                <w:rFonts w:hint="eastAsia"/>
                <w:color w:val="auto"/>
                <w:szCs w:val="21"/>
                <w:lang w:val="en-US" w:eastAsia="zh-CN"/>
              </w:rPr>
              <w:t xml:space="preserve">五十一、水利 </w:t>
            </w:r>
            <w:r>
              <w:rPr>
                <w:rFonts w:hint="default"/>
                <w:color w:val="auto"/>
                <w:szCs w:val="21"/>
                <w:lang w:val="en-US" w:eastAsia="zh-CN"/>
              </w:rPr>
              <w:t xml:space="preserve">127 </w:t>
            </w:r>
          </w:p>
          <w:p>
            <w:pPr>
              <w:adjustRightInd w:val="0"/>
              <w:snapToGrid w:val="0"/>
              <w:jc w:val="center"/>
              <w:rPr>
                <w:color w:val="auto"/>
                <w:szCs w:val="21"/>
              </w:rPr>
            </w:pPr>
            <w:r>
              <w:rPr>
                <w:rFonts w:hint="eastAsia"/>
                <w:color w:val="auto"/>
                <w:szCs w:val="21"/>
                <w:lang w:val="en-US" w:eastAsia="zh-CN"/>
              </w:rPr>
              <w:t>防洪治涝工程</w:t>
            </w:r>
          </w:p>
        </w:tc>
        <w:tc>
          <w:tcPr>
            <w:tcW w:w="2218" w:type="dxa"/>
            <w:vAlign w:val="center"/>
          </w:tcPr>
          <w:p>
            <w:pPr>
              <w:adjustRightInd w:val="0"/>
              <w:snapToGrid w:val="0"/>
              <w:jc w:val="center"/>
              <w:rPr>
                <w:color w:val="auto"/>
                <w:szCs w:val="21"/>
              </w:rPr>
            </w:pPr>
            <w:r>
              <w:rPr>
                <w:color w:val="auto"/>
                <w:szCs w:val="21"/>
              </w:rPr>
              <w:t>用地（用海）面积（m</w:t>
            </w:r>
            <w:r>
              <w:rPr>
                <w:color w:val="auto"/>
                <w:szCs w:val="21"/>
                <w:vertAlign w:val="superscript"/>
              </w:rPr>
              <w:t>2</w:t>
            </w:r>
            <w:r>
              <w:rPr>
                <w:color w:val="auto"/>
                <w:szCs w:val="21"/>
              </w:rPr>
              <w:t>）/长度（km）</w:t>
            </w:r>
          </w:p>
        </w:tc>
        <w:tc>
          <w:tcPr>
            <w:tcW w:w="2552" w:type="dxa"/>
            <w:gridSpan w:val="2"/>
            <w:vAlign w:val="center"/>
          </w:tcPr>
          <w:p>
            <w:pPr>
              <w:adjustRightInd w:val="0"/>
              <w:snapToGrid w:val="0"/>
              <w:jc w:val="center"/>
              <w:rPr>
                <w:rFonts w:hint="default" w:eastAsia="宋体"/>
                <w:color w:val="auto"/>
                <w:szCs w:val="21"/>
                <w:lang w:val="en-US" w:eastAsia="zh-CN"/>
              </w:rPr>
            </w:pPr>
            <w:r>
              <w:rPr>
                <w:rFonts w:hint="eastAsia"/>
                <w:color w:val="auto"/>
                <w:kern w:val="0"/>
                <w:szCs w:val="21"/>
                <w:lang w:val="en-US" w:eastAsia="zh-CN"/>
              </w:rPr>
              <w:t>31400</w:t>
            </w:r>
            <w:r>
              <w:rPr>
                <w:color w:val="auto"/>
                <w:kern w:val="0"/>
                <w:szCs w:val="21"/>
              </w:rPr>
              <w:t>/</w:t>
            </w:r>
            <w:r>
              <w:rPr>
                <w:rFonts w:hint="eastAsia"/>
                <w:color w:val="auto"/>
                <w:kern w:val="0"/>
                <w:szCs w:val="21"/>
                <w:lang w:val="en-US" w:eastAsia="zh-CN"/>
              </w:rPr>
              <w:t>1.77098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1843" w:type="dxa"/>
            <w:tcMar>
              <w:top w:w="16" w:type="dxa"/>
              <w:left w:w="16" w:type="dxa"/>
              <w:right w:w="16" w:type="dxa"/>
            </w:tcMar>
            <w:vAlign w:val="center"/>
          </w:tcPr>
          <w:p>
            <w:pPr>
              <w:adjustRightInd w:val="0"/>
              <w:snapToGrid w:val="0"/>
              <w:jc w:val="center"/>
              <w:rPr>
                <w:color w:val="auto"/>
                <w:szCs w:val="21"/>
              </w:rPr>
            </w:pPr>
            <w:r>
              <w:rPr>
                <w:color w:val="auto"/>
                <w:szCs w:val="21"/>
              </w:rPr>
              <w:t>建设性质</w:t>
            </w:r>
          </w:p>
        </w:tc>
        <w:tc>
          <w:tcPr>
            <w:tcW w:w="2426" w:type="dxa"/>
            <w:vAlign w:val="center"/>
          </w:tcPr>
          <w:p>
            <w:pPr>
              <w:adjustRightInd w:val="0"/>
              <w:snapToGrid w:val="0"/>
              <w:jc w:val="left"/>
              <w:rPr>
                <w:color w:val="auto"/>
                <w:szCs w:val="21"/>
              </w:rPr>
            </w:pPr>
            <w:r>
              <w:rPr>
                <w:rFonts w:hint="eastAsia"/>
                <w:color w:val="auto"/>
                <w:szCs w:val="21"/>
                <w:lang w:eastAsia="zh-CN"/>
              </w:rPr>
              <w:t>☑</w:t>
            </w:r>
            <w:r>
              <w:rPr>
                <w:color w:val="auto"/>
                <w:szCs w:val="21"/>
              </w:rPr>
              <w:t>新建（迁建）</w:t>
            </w:r>
          </w:p>
          <w:p>
            <w:pPr>
              <w:adjustRightInd w:val="0"/>
              <w:snapToGrid w:val="0"/>
              <w:jc w:val="left"/>
              <w:rPr>
                <w:color w:val="auto"/>
                <w:szCs w:val="21"/>
              </w:rPr>
            </w:pPr>
            <w:r>
              <w:rPr>
                <w:rFonts w:hint="eastAsia"/>
                <w:color w:val="auto"/>
                <w:szCs w:val="21"/>
                <w:lang w:eastAsia="zh-CN"/>
              </w:rPr>
              <w:t>□</w:t>
            </w:r>
            <w:r>
              <w:rPr>
                <w:color w:val="auto"/>
                <w:szCs w:val="21"/>
              </w:rPr>
              <w:t>改建</w:t>
            </w:r>
          </w:p>
          <w:p>
            <w:pPr>
              <w:adjustRightInd w:val="0"/>
              <w:snapToGrid w:val="0"/>
              <w:jc w:val="left"/>
              <w:rPr>
                <w:color w:val="auto"/>
                <w:szCs w:val="21"/>
              </w:rPr>
            </w:pPr>
            <w:r>
              <w:rPr>
                <w:rFonts w:hint="eastAsia"/>
                <w:color w:val="auto"/>
                <w:szCs w:val="21"/>
                <w:lang w:eastAsia="zh-CN"/>
              </w:rPr>
              <w:t>□</w:t>
            </w:r>
            <w:r>
              <w:rPr>
                <w:color w:val="auto"/>
                <w:szCs w:val="21"/>
              </w:rPr>
              <w:t>扩建</w:t>
            </w:r>
          </w:p>
          <w:p>
            <w:pPr>
              <w:adjustRightInd w:val="0"/>
              <w:snapToGrid w:val="0"/>
              <w:jc w:val="left"/>
              <w:rPr>
                <w:color w:val="auto"/>
                <w:szCs w:val="21"/>
              </w:rPr>
            </w:pPr>
            <w:r>
              <w:rPr>
                <w:rFonts w:hint="eastAsia"/>
                <w:color w:val="auto"/>
                <w:szCs w:val="21"/>
                <w:lang w:eastAsia="zh-CN"/>
              </w:rPr>
              <w:t>□</w:t>
            </w:r>
            <w:r>
              <w:rPr>
                <w:color w:val="auto"/>
                <w:szCs w:val="21"/>
              </w:rPr>
              <w:t>技术改造</w:t>
            </w:r>
          </w:p>
        </w:tc>
        <w:tc>
          <w:tcPr>
            <w:tcW w:w="2218" w:type="dxa"/>
            <w:vAlign w:val="center"/>
          </w:tcPr>
          <w:p>
            <w:pPr>
              <w:adjustRightInd w:val="0"/>
              <w:snapToGrid w:val="0"/>
              <w:jc w:val="center"/>
              <w:rPr>
                <w:color w:val="auto"/>
                <w:szCs w:val="21"/>
              </w:rPr>
            </w:pPr>
            <w:r>
              <w:rPr>
                <w:color w:val="auto"/>
                <w:szCs w:val="21"/>
              </w:rPr>
              <w:t>建设项目</w:t>
            </w:r>
          </w:p>
          <w:p>
            <w:pPr>
              <w:adjustRightInd w:val="0"/>
              <w:snapToGrid w:val="0"/>
              <w:jc w:val="center"/>
              <w:rPr>
                <w:color w:val="auto"/>
                <w:szCs w:val="21"/>
              </w:rPr>
            </w:pPr>
            <w:r>
              <w:rPr>
                <w:color w:val="auto"/>
                <w:szCs w:val="21"/>
              </w:rPr>
              <w:t>申报情形</w:t>
            </w:r>
          </w:p>
        </w:tc>
        <w:tc>
          <w:tcPr>
            <w:tcW w:w="2552" w:type="dxa"/>
            <w:gridSpan w:val="2"/>
            <w:vAlign w:val="center"/>
          </w:tcPr>
          <w:p>
            <w:pPr>
              <w:adjustRightInd w:val="0"/>
              <w:snapToGrid w:val="0"/>
              <w:jc w:val="left"/>
              <w:rPr>
                <w:color w:val="auto"/>
                <w:szCs w:val="21"/>
              </w:rPr>
            </w:pPr>
            <w:r>
              <w:rPr>
                <w:rFonts w:hint="eastAsia"/>
                <w:color w:val="auto"/>
                <w:szCs w:val="21"/>
                <w:lang w:eastAsia="zh-CN"/>
              </w:rPr>
              <w:t>☑</w:t>
            </w:r>
            <w:r>
              <w:rPr>
                <w:color w:val="auto"/>
                <w:szCs w:val="21"/>
              </w:rPr>
              <w:t>首次申报项目</w:t>
            </w:r>
          </w:p>
          <w:p>
            <w:pPr>
              <w:adjustRightInd w:val="0"/>
              <w:snapToGrid w:val="0"/>
              <w:jc w:val="left"/>
              <w:rPr>
                <w:color w:val="auto"/>
                <w:szCs w:val="21"/>
              </w:rPr>
            </w:pPr>
            <w:r>
              <w:rPr>
                <w:rFonts w:hint="eastAsia"/>
                <w:color w:val="auto"/>
                <w:szCs w:val="21"/>
                <w:lang w:eastAsia="zh-CN"/>
              </w:rPr>
              <w:t>□</w:t>
            </w:r>
            <w:r>
              <w:rPr>
                <w:color w:val="auto"/>
                <w:szCs w:val="21"/>
              </w:rPr>
              <w:t>不予批准后再次申报项目</w:t>
            </w:r>
          </w:p>
          <w:p>
            <w:pPr>
              <w:adjustRightInd w:val="0"/>
              <w:snapToGrid w:val="0"/>
              <w:jc w:val="left"/>
              <w:rPr>
                <w:color w:val="auto"/>
                <w:szCs w:val="21"/>
              </w:rPr>
            </w:pPr>
            <w:r>
              <w:rPr>
                <w:rFonts w:hint="eastAsia"/>
                <w:color w:val="auto"/>
                <w:szCs w:val="21"/>
                <w:lang w:eastAsia="zh-CN"/>
              </w:rPr>
              <w:t>□</w:t>
            </w:r>
            <w:r>
              <w:rPr>
                <w:color w:val="auto"/>
                <w:szCs w:val="21"/>
              </w:rPr>
              <w:t>超五年重新审核项目</w:t>
            </w:r>
          </w:p>
          <w:p>
            <w:pPr>
              <w:adjustRightInd w:val="0"/>
              <w:snapToGrid w:val="0"/>
              <w:rPr>
                <w:color w:val="auto"/>
                <w:szCs w:val="21"/>
              </w:rPr>
            </w:pPr>
            <w:r>
              <w:rPr>
                <w:rFonts w:hint="eastAsia"/>
                <w:color w:val="auto"/>
                <w:szCs w:val="21"/>
                <w:lang w:eastAsia="zh-CN"/>
              </w:rPr>
              <w:t>□</w:t>
            </w:r>
            <w:r>
              <w:rPr>
                <w:color w:val="auto"/>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53" w:hRule="atLeast"/>
        </w:trPr>
        <w:tc>
          <w:tcPr>
            <w:tcW w:w="1843" w:type="dxa"/>
            <w:tcMar>
              <w:top w:w="16" w:type="dxa"/>
              <w:left w:w="16" w:type="dxa"/>
              <w:right w:w="16" w:type="dxa"/>
            </w:tcMar>
            <w:vAlign w:val="center"/>
          </w:tcPr>
          <w:p>
            <w:pPr>
              <w:adjustRightInd w:val="0"/>
              <w:snapToGrid w:val="0"/>
              <w:jc w:val="center"/>
              <w:rPr>
                <w:color w:val="auto"/>
                <w:szCs w:val="21"/>
              </w:rPr>
            </w:pPr>
            <w:r>
              <w:rPr>
                <w:color w:val="auto"/>
                <w:szCs w:val="21"/>
              </w:rPr>
              <w:t>项目审批（核准/</w:t>
            </w:r>
          </w:p>
          <w:p>
            <w:pPr>
              <w:adjustRightInd w:val="0"/>
              <w:snapToGrid w:val="0"/>
              <w:jc w:val="center"/>
              <w:rPr>
                <w:color w:val="auto"/>
                <w:szCs w:val="21"/>
              </w:rPr>
            </w:pPr>
            <w:r>
              <w:rPr>
                <w:color w:val="auto"/>
                <w:szCs w:val="21"/>
              </w:rPr>
              <w:t>备案）部门（选填）</w:t>
            </w:r>
          </w:p>
        </w:tc>
        <w:tc>
          <w:tcPr>
            <w:tcW w:w="2426" w:type="dxa"/>
            <w:vAlign w:val="center"/>
          </w:tcPr>
          <w:p>
            <w:pPr>
              <w:adjustRightInd w:val="0"/>
              <w:snapToGrid w:val="0"/>
              <w:jc w:val="center"/>
              <w:rPr>
                <w:color w:val="auto"/>
                <w:szCs w:val="21"/>
              </w:rPr>
            </w:pPr>
            <w:r>
              <w:rPr>
                <w:rFonts w:hint="eastAsia"/>
                <w:color w:val="auto"/>
                <w:szCs w:val="21"/>
                <w:lang w:eastAsia="zh-CN"/>
              </w:rPr>
              <w:t>岚皋县</w:t>
            </w:r>
            <w:r>
              <w:rPr>
                <w:rFonts w:hint="eastAsia"/>
                <w:color w:val="auto"/>
                <w:szCs w:val="21"/>
                <w:lang w:val="en-US" w:eastAsia="zh-CN"/>
              </w:rPr>
              <w:t>发展和改革</w:t>
            </w:r>
            <w:r>
              <w:rPr>
                <w:color w:val="auto"/>
                <w:szCs w:val="21"/>
              </w:rPr>
              <w:t>局</w:t>
            </w:r>
          </w:p>
        </w:tc>
        <w:tc>
          <w:tcPr>
            <w:tcW w:w="2218" w:type="dxa"/>
            <w:vAlign w:val="center"/>
          </w:tcPr>
          <w:p>
            <w:pPr>
              <w:adjustRightInd w:val="0"/>
              <w:snapToGrid w:val="0"/>
              <w:jc w:val="center"/>
              <w:rPr>
                <w:color w:val="auto"/>
                <w:szCs w:val="21"/>
              </w:rPr>
            </w:pPr>
            <w:r>
              <w:rPr>
                <w:color w:val="auto"/>
                <w:szCs w:val="21"/>
              </w:rPr>
              <w:t>项目审批（核准/</w:t>
            </w:r>
          </w:p>
          <w:p>
            <w:pPr>
              <w:adjustRightInd w:val="0"/>
              <w:snapToGrid w:val="0"/>
              <w:jc w:val="center"/>
              <w:rPr>
                <w:color w:val="auto"/>
                <w:szCs w:val="21"/>
              </w:rPr>
            </w:pPr>
            <w:r>
              <w:rPr>
                <w:color w:val="auto"/>
                <w:szCs w:val="21"/>
              </w:rPr>
              <w:t>备案）文号（选填）</w:t>
            </w:r>
          </w:p>
        </w:tc>
        <w:tc>
          <w:tcPr>
            <w:tcW w:w="2552" w:type="dxa"/>
            <w:gridSpan w:val="2"/>
            <w:vAlign w:val="center"/>
          </w:tcPr>
          <w:p>
            <w:pPr>
              <w:adjustRightInd w:val="0"/>
              <w:snapToGrid w:val="0"/>
              <w:jc w:val="center"/>
              <w:rPr>
                <w:color w:val="auto"/>
                <w:szCs w:val="21"/>
              </w:rPr>
            </w:pPr>
            <w:r>
              <w:rPr>
                <w:rFonts w:hint="eastAsia"/>
                <w:color w:val="auto"/>
                <w:szCs w:val="21"/>
                <w:lang w:val="en-US" w:eastAsia="zh-CN"/>
              </w:rPr>
              <w:t>岚发改农经</w:t>
            </w:r>
            <w:r>
              <w:rPr>
                <w:color w:val="auto"/>
                <w:szCs w:val="21"/>
              </w:rPr>
              <w:t>[202</w:t>
            </w:r>
            <w:r>
              <w:rPr>
                <w:rFonts w:hint="eastAsia"/>
                <w:color w:val="auto"/>
                <w:szCs w:val="21"/>
                <w:lang w:val="en-US" w:eastAsia="zh-CN"/>
              </w:rPr>
              <w:t>2</w:t>
            </w:r>
            <w:r>
              <w:rPr>
                <w:color w:val="auto"/>
                <w:szCs w:val="21"/>
              </w:rPr>
              <w:t>]</w:t>
            </w:r>
            <w:r>
              <w:rPr>
                <w:rFonts w:hint="eastAsia"/>
                <w:color w:val="auto"/>
                <w:szCs w:val="21"/>
                <w:lang w:val="en-US" w:eastAsia="zh-CN"/>
              </w:rPr>
              <w:t>403</w:t>
            </w:r>
            <w:r>
              <w:rPr>
                <w:color w:val="auto"/>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843" w:type="dxa"/>
            <w:tcMar>
              <w:top w:w="16" w:type="dxa"/>
              <w:left w:w="16" w:type="dxa"/>
              <w:right w:w="16" w:type="dxa"/>
            </w:tcMar>
            <w:vAlign w:val="center"/>
          </w:tcPr>
          <w:p>
            <w:pPr>
              <w:adjustRightInd w:val="0"/>
              <w:snapToGrid w:val="0"/>
              <w:jc w:val="center"/>
              <w:rPr>
                <w:color w:val="auto"/>
                <w:szCs w:val="21"/>
              </w:rPr>
            </w:pPr>
            <w:r>
              <w:rPr>
                <w:color w:val="auto"/>
                <w:szCs w:val="21"/>
              </w:rPr>
              <w:t>总投资（万元）</w:t>
            </w:r>
          </w:p>
        </w:tc>
        <w:tc>
          <w:tcPr>
            <w:tcW w:w="2426" w:type="dxa"/>
            <w:vAlign w:val="center"/>
          </w:tcPr>
          <w:p>
            <w:pPr>
              <w:adjustRightInd w:val="0"/>
              <w:snapToGrid w:val="0"/>
              <w:jc w:val="center"/>
              <w:rPr>
                <w:rFonts w:hint="default" w:eastAsia="宋体"/>
                <w:color w:val="auto"/>
                <w:szCs w:val="21"/>
                <w:lang w:val="en-US" w:eastAsia="zh-CN"/>
              </w:rPr>
            </w:pPr>
            <w:r>
              <w:rPr>
                <w:rFonts w:hint="eastAsia"/>
                <w:color w:val="auto"/>
                <w:kern w:val="0"/>
                <w:szCs w:val="21"/>
                <w:lang w:val="en-US" w:eastAsia="zh-CN"/>
              </w:rPr>
              <w:t>1785.68</w:t>
            </w:r>
          </w:p>
        </w:tc>
        <w:tc>
          <w:tcPr>
            <w:tcW w:w="2218" w:type="dxa"/>
            <w:tcMar>
              <w:top w:w="16" w:type="dxa"/>
              <w:left w:w="16" w:type="dxa"/>
              <w:right w:w="16" w:type="dxa"/>
            </w:tcMar>
            <w:vAlign w:val="center"/>
          </w:tcPr>
          <w:p>
            <w:pPr>
              <w:adjustRightInd w:val="0"/>
              <w:snapToGrid w:val="0"/>
              <w:jc w:val="center"/>
              <w:rPr>
                <w:color w:val="auto"/>
                <w:szCs w:val="21"/>
              </w:rPr>
            </w:pPr>
            <w:r>
              <w:rPr>
                <w:color w:val="auto"/>
                <w:szCs w:val="21"/>
              </w:rPr>
              <w:t>环保投资（万元）</w:t>
            </w:r>
          </w:p>
        </w:tc>
        <w:tc>
          <w:tcPr>
            <w:tcW w:w="2552" w:type="dxa"/>
            <w:gridSpan w:val="2"/>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843" w:type="dxa"/>
            <w:tcMar>
              <w:top w:w="16" w:type="dxa"/>
              <w:left w:w="16" w:type="dxa"/>
              <w:right w:w="16" w:type="dxa"/>
            </w:tcMar>
            <w:vAlign w:val="center"/>
          </w:tcPr>
          <w:p>
            <w:pPr>
              <w:adjustRightInd w:val="0"/>
              <w:snapToGrid w:val="0"/>
              <w:jc w:val="center"/>
              <w:rPr>
                <w:color w:val="auto"/>
                <w:szCs w:val="21"/>
              </w:rPr>
            </w:pPr>
            <w:r>
              <w:rPr>
                <w:color w:val="auto"/>
                <w:szCs w:val="21"/>
              </w:rPr>
              <w:t>环保投资占比（%）</w:t>
            </w:r>
          </w:p>
        </w:tc>
        <w:tc>
          <w:tcPr>
            <w:tcW w:w="2426" w:type="dxa"/>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3.64</w:t>
            </w:r>
          </w:p>
        </w:tc>
        <w:tc>
          <w:tcPr>
            <w:tcW w:w="2218" w:type="dxa"/>
            <w:tcMar>
              <w:top w:w="16" w:type="dxa"/>
              <w:left w:w="16" w:type="dxa"/>
              <w:right w:w="16" w:type="dxa"/>
            </w:tcMar>
            <w:vAlign w:val="center"/>
          </w:tcPr>
          <w:p>
            <w:pPr>
              <w:adjustRightInd w:val="0"/>
              <w:snapToGrid w:val="0"/>
              <w:jc w:val="center"/>
              <w:rPr>
                <w:color w:val="auto"/>
                <w:szCs w:val="21"/>
              </w:rPr>
            </w:pPr>
            <w:r>
              <w:rPr>
                <w:color w:val="auto"/>
                <w:szCs w:val="21"/>
              </w:rPr>
              <w:t>施工工期</w:t>
            </w:r>
          </w:p>
        </w:tc>
        <w:tc>
          <w:tcPr>
            <w:tcW w:w="2552" w:type="dxa"/>
            <w:gridSpan w:val="2"/>
            <w:vAlign w:val="center"/>
          </w:tcPr>
          <w:p>
            <w:pPr>
              <w:adjustRightInd w:val="0"/>
              <w:snapToGrid w:val="0"/>
              <w:jc w:val="center"/>
              <w:rPr>
                <w:color w:val="auto"/>
                <w:szCs w:val="21"/>
              </w:rPr>
            </w:pPr>
            <w:r>
              <w:rPr>
                <w:rFonts w:hint="eastAsia"/>
                <w:color w:val="auto"/>
                <w:szCs w:val="21"/>
              </w:rPr>
              <w:t>8</w:t>
            </w:r>
            <w:r>
              <w:rPr>
                <w:color w:val="auto"/>
                <w:szCs w:val="21"/>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843" w:type="dxa"/>
            <w:tcMar>
              <w:top w:w="16" w:type="dxa"/>
              <w:left w:w="16" w:type="dxa"/>
              <w:right w:w="16" w:type="dxa"/>
            </w:tcMar>
            <w:vAlign w:val="center"/>
          </w:tcPr>
          <w:p>
            <w:pPr>
              <w:adjustRightInd w:val="0"/>
              <w:snapToGrid w:val="0"/>
              <w:jc w:val="center"/>
              <w:rPr>
                <w:color w:val="auto"/>
                <w:szCs w:val="21"/>
              </w:rPr>
            </w:pPr>
            <w:r>
              <w:rPr>
                <w:color w:val="auto"/>
                <w:szCs w:val="21"/>
              </w:rPr>
              <w:t>是否开工建设</w:t>
            </w:r>
          </w:p>
        </w:tc>
        <w:tc>
          <w:tcPr>
            <w:tcW w:w="7196" w:type="dxa"/>
            <w:gridSpan w:val="4"/>
            <w:vAlign w:val="center"/>
          </w:tcPr>
          <w:p>
            <w:pPr>
              <w:adjustRightInd w:val="0"/>
              <w:snapToGrid w:val="0"/>
              <w:ind w:firstLine="105"/>
              <w:jc w:val="left"/>
              <w:rPr>
                <w:color w:val="auto"/>
                <w:szCs w:val="21"/>
              </w:rPr>
            </w:pPr>
            <w:r>
              <w:rPr>
                <w:rFonts w:hint="eastAsia"/>
                <w:color w:val="auto"/>
                <w:szCs w:val="21"/>
                <w:lang w:eastAsia="zh-CN"/>
              </w:rPr>
              <w:t>☑</w:t>
            </w:r>
            <w:r>
              <w:rPr>
                <w:color w:val="auto"/>
                <w:szCs w:val="21"/>
              </w:rPr>
              <w:t>否</w:t>
            </w:r>
          </w:p>
          <w:p>
            <w:pPr>
              <w:adjustRightInd w:val="0"/>
              <w:snapToGrid w:val="0"/>
              <w:ind w:firstLine="92"/>
              <w:jc w:val="left"/>
              <w:rPr>
                <w:color w:val="auto"/>
                <w:szCs w:val="21"/>
              </w:rPr>
            </w:pPr>
            <w:r>
              <w:rPr>
                <w:rFonts w:hint="eastAsia"/>
                <w:color w:val="auto"/>
                <w:szCs w:val="21"/>
                <w:lang w:eastAsia="zh-CN"/>
              </w:rPr>
              <w:t>□</w:t>
            </w:r>
            <w:r>
              <w:rPr>
                <w:color w:val="auto"/>
                <w:szCs w:val="21"/>
              </w:rPr>
              <w:t>是：</w:t>
            </w:r>
            <w:r>
              <w:rPr>
                <w:color w:val="auto"/>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843" w:type="dxa"/>
            <w:tcMar>
              <w:top w:w="16" w:type="dxa"/>
              <w:left w:w="16" w:type="dxa"/>
              <w:right w:w="16" w:type="dxa"/>
            </w:tcMar>
            <w:vAlign w:val="center"/>
          </w:tcPr>
          <w:p>
            <w:pPr>
              <w:autoSpaceDE w:val="0"/>
              <w:autoSpaceDN w:val="0"/>
              <w:adjustRightInd w:val="0"/>
              <w:snapToGrid w:val="0"/>
              <w:jc w:val="center"/>
              <w:rPr>
                <w:color w:val="auto"/>
                <w:kern w:val="0"/>
                <w:szCs w:val="21"/>
              </w:rPr>
            </w:pPr>
            <w:r>
              <w:rPr>
                <w:color w:val="auto"/>
                <w:kern w:val="0"/>
                <w:szCs w:val="21"/>
              </w:rPr>
              <w:t>专项评价设置情况</w:t>
            </w:r>
          </w:p>
        </w:tc>
        <w:tc>
          <w:tcPr>
            <w:tcW w:w="7196" w:type="dxa"/>
            <w:gridSpan w:val="4"/>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szCs w:val="21"/>
                <w:lang w:val="en-US" w:eastAsia="zh-CN"/>
              </w:rPr>
            </w:pPr>
            <w:r>
              <w:rPr>
                <w:color w:val="auto"/>
                <w:szCs w:val="21"/>
              </w:rPr>
              <w:t>根据《建设项目环境影响报告表编制技术指南（生态影响类）（试行）》，</w:t>
            </w:r>
            <w:r>
              <w:rPr>
                <w:rFonts w:hint="eastAsia"/>
                <w:color w:val="auto"/>
                <w:szCs w:val="21"/>
                <w:lang w:val="en-US" w:eastAsia="zh-CN"/>
              </w:rPr>
              <w:t>对照专项评价设置原则表，本项目不设置专项评价，具体如下表所述。</w:t>
            </w:r>
          </w:p>
          <w:p>
            <w:pPr>
              <w:keepNext w:val="0"/>
              <w:keepLines w:val="0"/>
              <w:widowControl/>
              <w:suppressLineNumbers w:val="0"/>
              <w:jc w:val="center"/>
              <w:rPr>
                <w:rFonts w:hint="eastAsia"/>
                <w:color w:val="auto"/>
                <w:szCs w:val="21"/>
                <w:lang w:val="en-US" w:eastAsia="zh-CN"/>
              </w:rPr>
            </w:pPr>
            <w:r>
              <w:rPr>
                <w:rFonts w:ascii="黑体" w:hAnsi="宋体" w:eastAsia="黑体" w:cs="黑体"/>
                <w:color w:val="auto"/>
                <w:kern w:val="0"/>
                <w:sz w:val="21"/>
                <w:szCs w:val="21"/>
                <w:lang w:val="en-US" w:eastAsia="zh-CN" w:bidi="ar"/>
              </w:rPr>
              <w:t>表</w:t>
            </w:r>
            <w:r>
              <w:rPr>
                <w:rFonts w:hint="default" w:ascii="Times New Roman" w:hAnsi="Times New Roman" w:eastAsia="宋体" w:cs="Times New Roman"/>
                <w:color w:val="auto"/>
                <w:kern w:val="0"/>
                <w:sz w:val="21"/>
                <w:szCs w:val="21"/>
                <w:lang w:val="en-US" w:eastAsia="zh-CN" w:bidi="ar"/>
              </w:rPr>
              <w:t xml:space="preserve">1-1 </w:t>
            </w:r>
            <w:r>
              <w:rPr>
                <w:rFonts w:hint="eastAsia" w:cs="Times New Roman"/>
                <w:color w:val="auto"/>
                <w:kern w:val="0"/>
                <w:sz w:val="21"/>
                <w:szCs w:val="21"/>
                <w:lang w:val="en-US" w:eastAsia="zh-CN" w:bidi="ar"/>
              </w:rPr>
              <w:t xml:space="preserve"> </w:t>
            </w:r>
            <w:r>
              <w:rPr>
                <w:rFonts w:hint="eastAsia" w:ascii="黑体" w:hAnsi="宋体" w:eastAsia="黑体" w:cs="黑体"/>
                <w:color w:val="auto"/>
                <w:kern w:val="0"/>
                <w:sz w:val="21"/>
                <w:szCs w:val="21"/>
                <w:lang w:val="en-US" w:eastAsia="zh-CN" w:bidi="ar"/>
              </w:rPr>
              <w:t>专项评价对照一览表</w:t>
            </w:r>
          </w:p>
          <w:tbl>
            <w:tblPr>
              <w:tblStyle w:val="19"/>
              <w:tblpPr w:leftFromText="180" w:rightFromText="180" w:vertAnchor="text" w:horzAnchor="page" w:tblpXSpec="center" w:tblpY="32"/>
              <w:tblOverlap w:val="never"/>
              <w:tblW w:w="7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4190"/>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Align w:val="center"/>
                </w:tcPr>
                <w:p>
                  <w:pPr>
                    <w:keepNext w:val="0"/>
                    <w:keepLines w:val="0"/>
                    <w:widowControl/>
                    <w:suppressLineNumbers w:val="0"/>
                    <w:jc w:val="center"/>
                    <w:rPr>
                      <w:color w:val="auto"/>
                      <w:sz w:val="21"/>
                      <w:szCs w:val="21"/>
                    </w:rPr>
                  </w:pPr>
                  <w:r>
                    <w:rPr>
                      <w:rFonts w:hint="eastAsia" w:ascii="宋体" w:hAnsi="宋体" w:eastAsia="宋体" w:cs="宋体"/>
                      <w:color w:val="auto"/>
                      <w:kern w:val="0"/>
                      <w:sz w:val="21"/>
                      <w:szCs w:val="21"/>
                      <w:lang w:val="en-US" w:eastAsia="zh-CN" w:bidi="ar"/>
                    </w:rPr>
                    <w:t>专项评价</w:t>
                  </w:r>
                </w:p>
                <w:p>
                  <w:pPr>
                    <w:keepNext w:val="0"/>
                    <w:keepLines w:val="0"/>
                    <w:widowControl/>
                    <w:suppressLineNumbers w:val="0"/>
                    <w:jc w:val="center"/>
                    <w:rPr>
                      <w:color w:val="auto"/>
                      <w:sz w:val="21"/>
                      <w:szCs w:val="21"/>
                      <w:vertAlign w:val="baseline"/>
                    </w:rPr>
                  </w:pPr>
                  <w:r>
                    <w:rPr>
                      <w:rFonts w:hint="eastAsia" w:ascii="宋体" w:hAnsi="宋体" w:eastAsia="宋体" w:cs="宋体"/>
                      <w:color w:val="auto"/>
                      <w:kern w:val="0"/>
                      <w:sz w:val="21"/>
                      <w:szCs w:val="21"/>
                      <w:lang w:val="en-US" w:eastAsia="zh-CN" w:bidi="ar"/>
                    </w:rPr>
                    <w:t>的类别</w:t>
                  </w:r>
                </w:p>
              </w:tc>
              <w:tc>
                <w:tcPr>
                  <w:tcW w:w="4190" w:type="dxa"/>
                  <w:vAlign w:val="center"/>
                </w:tcPr>
                <w:p>
                  <w:pPr>
                    <w:keepNext w:val="0"/>
                    <w:keepLines w:val="0"/>
                    <w:widowControl/>
                    <w:suppressLineNumbers w:val="0"/>
                    <w:jc w:val="center"/>
                    <w:rPr>
                      <w:color w:val="auto"/>
                      <w:sz w:val="21"/>
                      <w:szCs w:val="21"/>
                      <w:vertAlign w:val="baseline"/>
                    </w:rPr>
                  </w:pPr>
                  <w:r>
                    <w:rPr>
                      <w:rFonts w:hint="eastAsia" w:ascii="宋体" w:hAnsi="宋体" w:eastAsia="宋体" w:cs="宋体"/>
                      <w:color w:val="auto"/>
                      <w:kern w:val="0"/>
                      <w:sz w:val="21"/>
                      <w:szCs w:val="21"/>
                      <w:lang w:val="en-US" w:eastAsia="zh-CN" w:bidi="ar"/>
                    </w:rPr>
                    <w:t>涉及项目类别</w:t>
                  </w:r>
                </w:p>
              </w:tc>
              <w:tc>
                <w:tcPr>
                  <w:tcW w:w="1739" w:type="dxa"/>
                  <w:vAlign w:val="center"/>
                </w:tcPr>
                <w:p>
                  <w:pPr>
                    <w:keepNext w:val="0"/>
                    <w:keepLines w:val="0"/>
                    <w:widowControl/>
                    <w:suppressLineNumbers w:val="0"/>
                    <w:jc w:val="center"/>
                    <w:rPr>
                      <w:color w:val="auto"/>
                      <w:sz w:val="21"/>
                      <w:szCs w:val="21"/>
                      <w:vertAlign w:val="baseline"/>
                    </w:rPr>
                  </w:pPr>
                  <w:r>
                    <w:rPr>
                      <w:rFonts w:hint="eastAsia" w:ascii="宋体" w:hAnsi="宋体" w:eastAsia="宋体" w:cs="宋体"/>
                      <w:color w:val="auto"/>
                      <w:kern w:val="0"/>
                      <w:sz w:val="21"/>
                      <w:szCs w:val="21"/>
                      <w:lang w:val="en-US" w:eastAsia="zh-CN" w:bidi="ar"/>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Align w:val="center"/>
                </w:tcPr>
                <w:p>
                  <w:pPr>
                    <w:keepNext w:val="0"/>
                    <w:keepLines w:val="0"/>
                    <w:widowControl/>
                    <w:suppressLineNumbers w:val="0"/>
                    <w:jc w:val="center"/>
                    <w:rPr>
                      <w:color w:val="auto"/>
                      <w:sz w:val="21"/>
                      <w:szCs w:val="21"/>
                      <w:vertAlign w:val="baseline"/>
                    </w:rPr>
                  </w:pPr>
                  <w:r>
                    <w:rPr>
                      <w:rFonts w:hint="eastAsia" w:ascii="宋体" w:hAnsi="宋体" w:eastAsia="宋体" w:cs="宋体"/>
                      <w:color w:val="auto"/>
                      <w:kern w:val="0"/>
                      <w:sz w:val="21"/>
                      <w:szCs w:val="21"/>
                      <w:lang w:val="en-US" w:eastAsia="zh-CN" w:bidi="ar"/>
                    </w:rPr>
                    <w:t>地表水</w:t>
                  </w:r>
                </w:p>
              </w:tc>
              <w:tc>
                <w:tcPr>
                  <w:tcW w:w="4190" w:type="dxa"/>
                  <w:vAlign w:val="center"/>
                </w:tcPr>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水力发电：</w:t>
                  </w:r>
                  <w:r>
                    <w:rPr>
                      <w:rFonts w:hint="eastAsia" w:ascii="宋体" w:hAnsi="宋体" w:eastAsia="宋体" w:cs="宋体"/>
                      <w:color w:val="auto"/>
                      <w:kern w:val="0"/>
                      <w:sz w:val="21"/>
                      <w:szCs w:val="21"/>
                      <w:lang w:val="en-US" w:eastAsia="zh-CN" w:bidi="ar"/>
                    </w:rPr>
                    <w:t>引水式发电、涉及调峰发电的项目；</w:t>
                  </w:r>
                </w:p>
                <w:p>
                  <w:pPr>
                    <w:keepNext w:val="0"/>
                    <w:keepLines w:val="0"/>
                    <w:widowControl/>
                    <w:suppressLineNumbers w:val="0"/>
                    <w:jc w:val="left"/>
                    <w:rPr>
                      <w:color w:val="auto"/>
                      <w:sz w:val="21"/>
                      <w:szCs w:val="21"/>
                    </w:rPr>
                  </w:pPr>
                  <w:r>
                    <w:rPr>
                      <w:rFonts w:hint="eastAsia" w:ascii="宋体" w:hAnsi="宋体" w:eastAsia="宋体" w:cs="宋体"/>
                      <w:b/>
                      <w:bCs/>
                      <w:color w:val="auto"/>
                      <w:kern w:val="0"/>
                      <w:sz w:val="21"/>
                      <w:szCs w:val="21"/>
                      <w:lang w:val="en-US" w:eastAsia="zh-CN" w:bidi="ar"/>
                    </w:rPr>
                    <w:t>人工湖、人工湿地：</w:t>
                  </w:r>
                  <w:r>
                    <w:rPr>
                      <w:rFonts w:hint="eastAsia" w:ascii="宋体" w:hAnsi="宋体" w:eastAsia="宋体" w:cs="宋体"/>
                      <w:color w:val="auto"/>
                      <w:kern w:val="0"/>
                      <w:sz w:val="21"/>
                      <w:szCs w:val="21"/>
                      <w:lang w:val="en-US" w:eastAsia="zh-CN" w:bidi="ar"/>
                    </w:rPr>
                    <w:t>全部；</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水库：全部；</w:t>
                  </w:r>
                </w:p>
                <w:p>
                  <w:pPr>
                    <w:keepNext w:val="0"/>
                    <w:keepLines w:val="0"/>
                    <w:widowControl/>
                    <w:suppressLineNumbers w:val="0"/>
                    <w:jc w:val="left"/>
                    <w:rPr>
                      <w:color w:val="auto"/>
                      <w:sz w:val="21"/>
                      <w:szCs w:val="21"/>
                    </w:rPr>
                  </w:pPr>
                  <w:r>
                    <w:rPr>
                      <w:rFonts w:hint="eastAsia" w:ascii="宋体" w:hAnsi="宋体" w:eastAsia="宋体" w:cs="宋体"/>
                      <w:b/>
                      <w:bCs/>
                      <w:color w:val="auto"/>
                      <w:kern w:val="0"/>
                      <w:sz w:val="21"/>
                      <w:szCs w:val="21"/>
                      <w:lang w:val="en-US" w:eastAsia="zh-CN" w:bidi="ar"/>
                    </w:rPr>
                    <w:t>引水工程：</w:t>
                  </w:r>
                  <w:r>
                    <w:rPr>
                      <w:rFonts w:hint="eastAsia" w:ascii="宋体" w:hAnsi="宋体" w:eastAsia="宋体" w:cs="宋体"/>
                      <w:color w:val="auto"/>
                      <w:kern w:val="0"/>
                      <w:sz w:val="21"/>
                      <w:szCs w:val="21"/>
                      <w:lang w:val="en-US" w:eastAsia="zh-CN" w:bidi="ar"/>
                    </w:rPr>
                    <w:t>全部（配套的管线工程等除外）；</w:t>
                  </w:r>
                </w:p>
                <w:p>
                  <w:pPr>
                    <w:keepNext w:val="0"/>
                    <w:keepLines w:val="0"/>
                    <w:widowControl/>
                    <w:suppressLineNumbers w:val="0"/>
                    <w:jc w:val="left"/>
                    <w:rPr>
                      <w:color w:val="auto"/>
                      <w:sz w:val="21"/>
                      <w:szCs w:val="21"/>
                    </w:rPr>
                  </w:pPr>
                  <w:r>
                    <w:rPr>
                      <w:rFonts w:hint="eastAsia" w:ascii="宋体" w:hAnsi="宋体" w:eastAsia="宋体" w:cs="宋体"/>
                      <w:b/>
                      <w:bCs/>
                      <w:color w:val="auto"/>
                      <w:kern w:val="0"/>
                      <w:sz w:val="21"/>
                      <w:szCs w:val="21"/>
                      <w:lang w:val="en-US" w:eastAsia="zh-CN" w:bidi="ar"/>
                    </w:rPr>
                    <w:t>防洪除涝工程：</w:t>
                  </w:r>
                  <w:r>
                    <w:rPr>
                      <w:rFonts w:hint="eastAsia" w:ascii="宋体" w:hAnsi="宋体" w:eastAsia="宋体" w:cs="宋体"/>
                      <w:color w:val="auto"/>
                      <w:kern w:val="0"/>
                      <w:sz w:val="21"/>
                      <w:szCs w:val="21"/>
                      <w:lang w:val="en-US" w:eastAsia="zh-CN" w:bidi="ar"/>
                    </w:rPr>
                    <w:t>包含水库的项目；</w:t>
                  </w:r>
                </w:p>
                <w:p>
                  <w:pPr>
                    <w:keepNext w:val="0"/>
                    <w:keepLines w:val="0"/>
                    <w:widowControl/>
                    <w:suppressLineNumbers w:val="0"/>
                    <w:jc w:val="left"/>
                    <w:rPr>
                      <w:color w:val="auto"/>
                      <w:sz w:val="21"/>
                      <w:szCs w:val="21"/>
                      <w:vertAlign w:val="baseline"/>
                    </w:rPr>
                  </w:pPr>
                  <w:r>
                    <w:rPr>
                      <w:rFonts w:hint="eastAsia" w:ascii="宋体" w:hAnsi="宋体" w:eastAsia="宋体" w:cs="宋体"/>
                      <w:b/>
                      <w:bCs/>
                      <w:color w:val="auto"/>
                      <w:kern w:val="0"/>
                      <w:sz w:val="21"/>
                      <w:szCs w:val="21"/>
                      <w:lang w:val="en-US" w:eastAsia="zh-CN" w:bidi="ar"/>
                    </w:rPr>
                    <w:t>河湖整治：</w:t>
                  </w:r>
                  <w:r>
                    <w:rPr>
                      <w:rFonts w:hint="eastAsia" w:ascii="宋体" w:hAnsi="宋体" w:eastAsia="宋体" w:cs="宋体"/>
                      <w:color w:val="auto"/>
                      <w:kern w:val="0"/>
                      <w:sz w:val="21"/>
                      <w:szCs w:val="21"/>
                      <w:lang w:val="en-US" w:eastAsia="zh-CN" w:bidi="ar"/>
                    </w:rPr>
                    <w:t>涉及清淤且底泥存在重金属污染的项目</w:t>
                  </w:r>
                  <w:r>
                    <w:rPr>
                      <w:rFonts w:hint="eastAsia" w:ascii="宋体" w:hAnsi="宋体" w:cs="宋体"/>
                      <w:color w:val="auto"/>
                      <w:kern w:val="0"/>
                      <w:sz w:val="21"/>
                      <w:szCs w:val="21"/>
                      <w:lang w:val="en-US" w:eastAsia="zh-CN" w:bidi="ar"/>
                    </w:rPr>
                    <w:t>；</w:t>
                  </w:r>
                </w:p>
              </w:tc>
              <w:tc>
                <w:tcPr>
                  <w:tcW w:w="1739" w:type="dxa"/>
                  <w:vAlign w:val="center"/>
                </w:tcPr>
                <w:p>
                  <w:pPr>
                    <w:keepNext w:val="0"/>
                    <w:keepLines w:val="0"/>
                    <w:widowControl/>
                    <w:suppressLineNumbers w:val="0"/>
                    <w:jc w:val="center"/>
                    <w:rPr>
                      <w:color w:val="auto"/>
                      <w:sz w:val="21"/>
                      <w:szCs w:val="21"/>
                      <w:vertAlign w:val="baseline"/>
                    </w:rPr>
                  </w:pPr>
                  <w:r>
                    <w:rPr>
                      <w:rFonts w:hint="eastAsia" w:ascii="宋体" w:hAnsi="宋体" w:eastAsia="宋体" w:cs="宋体"/>
                      <w:color w:val="auto"/>
                      <w:kern w:val="0"/>
                      <w:sz w:val="21"/>
                      <w:szCs w:val="21"/>
                      <w:lang w:val="en-US" w:eastAsia="zh-CN" w:bidi="ar"/>
                    </w:rPr>
                    <w:t>本项目为防洪</w:t>
                  </w:r>
                  <w:r>
                    <w:rPr>
                      <w:rFonts w:hint="eastAsia" w:ascii="宋体" w:hAnsi="宋体" w:cs="宋体"/>
                      <w:color w:val="auto"/>
                      <w:kern w:val="0"/>
                      <w:sz w:val="21"/>
                      <w:szCs w:val="21"/>
                      <w:lang w:val="en-US" w:eastAsia="zh-CN" w:bidi="ar"/>
                    </w:rPr>
                    <w:t>堤防</w:t>
                  </w:r>
                  <w:r>
                    <w:rPr>
                      <w:rFonts w:hint="eastAsia" w:ascii="宋体" w:hAnsi="宋体" w:eastAsia="宋体" w:cs="宋体"/>
                      <w:color w:val="auto"/>
                      <w:kern w:val="0"/>
                      <w:sz w:val="21"/>
                      <w:szCs w:val="21"/>
                      <w:lang w:val="en-US" w:eastAsia="zh-CN" w:bidi="ar"/>
                    </w:rPr>
                    <w:t>工程，工程内容无水库建设。无需设置地表水专项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Align w:val="center"/>
                </w:tcPr>
                <w:p>
                  <w:pPr>
                    <w:keepNext w:val="0"/>
                    <w:keepLines w:val="0"/>
                    <w:widowControl/>
                    <w:suppressLineNumbers w:val="0"/>
                    <w:jc w:val="center"/>
                    <w:rPr>
                      <w:color w:val="auto"/>
                      <w:sz w:val="21"/>
                      <w:szCs w:val="21"/>
                      <w:vertAlign w:val="baseline"/>
                    </w:rPr>
                  </w:pPr>
                  <w:r>
                    <w:rPr>
                      <w:rFonts w:hint="eastAsia" w:ascii="宋体" w:hAnsi="宋体" w:eastAsia="宋体" w:cs="宋体"/>
                      <w:color w:val="auto"/>
                      <w:kern w:val="0"/>
                      <w:sz w:val="21"/>
                      <w:szCs w:val="21"/>
                      <w:lang w:val="en-US" w:eastAsia="zh-CN" w:bidi="ar"/>
                    </w:rPr>
                    <w:t>地下水</w:t>
                  </w:r>
                </w:p>
              </w:tc>
              <w:tc>
                <w:tcPr>
                  <w:tcW w:w="4190" w:type="dxa"/>
                  <w:vAlign w:val="center"/>
                </w:tcPr>
                <w:p>
                  <w:pPr>
                    <w:keepNext w:val="0"/>
                    <w:keepLines w:val="0"/>
                    <w:widowControl/>
                    <w:suppressLineNumbers w:val="0"/>
                    <w:jc w:val="left"/>
                    <w:rPr>
                      <w:color w:val="auto"/>
                    </w:rPr>
                  </w:pPr>
                  <w:r>
                    <w:rPr>
                      <w:rFonts w:hint="eastAsia" w:ascii="宋体" w:hAnsi="宋体" w:eastAsia="宋体" w:cs="宋体"/>
                      <w:b/>
                      <w:bCs/>
                      <w:color w:val="auto"/>
                      <w:kern w:val="0"/>
                      <w:sz w:val="21"/>
                      <w:szCs w:val="21"/>
                      <w:lang w:val="en-US" w:eastAsia="zh-CN" w:bidi="ar"/>
                    </w:rPr>
                    <w:t>陆地石油和天然气开采：</w:t>
                  </w:r>
                  <w:r>
                    <w:rPr>
                      <w:rFonts w:hint="eastAsia" w:ascii="宋体" w:hAnsi="宋体" w:eastAsia="宋体" w:cs="宋体"/>
                      <w:color w:val="auto"/>
                      <w:kern w:val="0"/>
                      <w:sz w:val="21"/>
                      <w:szCs w:val="21"/>
                      <w:lang w:val="en-US" w:eastAsia="zh-CN" w:bidi="ar"/>
                    </w:rPr>
                    <w:t>全部；</w:t>
                  </w:r>
                </w:p>
                <w:p>
                  <w:pPr>
                    <w:keepNext w:val="0"/>
                    <w:keepLines w:val="0"/>
                    <w:widowControl/>
                    <w:suppressLineNumbers w:val="0"/>
                    <w:jc w:val="left"/>
                    <w:rPr>
                      <w:color w:val="auto"/>
                    </w:rPr>
                  </w:pPr>
                  <w:r>
                    <w:rPr>
                      <w:rFonts w:hint="eastAsia" w:ascii="宋体" w:hAnsi="宋体" w:eastAsia="宋体" w:cs="宋体"/>
                      <w:b/>
                      <w:bCs/>
                      <w:color w:val="auto"/>
                      <w:kern w:val="0"/>
                      <w:sz w:val="21"/>
                      <w:szCs w:val="21"/>
                      <w:lang w:val="en-US" w:eastAsia="zh-CN" w:bidi="ar"/>
                    </w:rPr>
                    <w:t>地下水（含矿泉水）开采：</w:t>
                  </w:r>
                  <w:r>
                    <w:rPr>
                      <w:rFonts w:hint="eastAsia" w:ascii="宋体" w:hAnsi="宋体" w:eastAsia="宋体" w:cs="宋体"/>
                      <w:color w:val="auto"/>
                      <w:kern w:val="0"/>
                      <w:sz w:val="21"/>
                      <w:szCs w:val="21"/>
                      <w:lang w:val="en-US" w:eastAsia="zh-CN" w:bidi="ar"/>
                    </w:rPr>
                    <w:t>全部；</w:t>
                  </w:r>
                </w:p>
                <w:p>
                  <w:pPr>
                    <w:keepNext w:val="0"/>
                    <w:keepLines w:val="0"/>
                    <w:widowControl/>
                    <w:suppressLineNumbers w:val="0"/>
                    <w:jc w:val="left"/>
                    <w:rPr>
                      <w:color w:val="auto"/>
                      <w:sz w:val="21"/>
                      <w:szCs w:val="21"/>
                      <w:vertAlign w:val="baseline"/>
                    </w:rPr>
                  </w:pPr>
                  <w:r>
                    <w:rPr>
                      <w:rFonts w:hint="eastAsia" w:ascii="宋体" w:hAnsi="宋体" w:eastAsia="宋体" w:cs="宋体"/>
                      <w:b/>
                      <w:bCs/>
                      <w:color w:val="auto"/>
                      <w:kern w:val="0"/>
                      <w:sz w:val="21"/>
                      <w:szCs w:val="21"/>
                      <w:lang w:val="en-US" w:eastAsia="zh-CN" w:bidi="ar"/>
                    </w:rPr>
                    <w:t>水利、水电、交通等：</w:t>
                  </w:r>
                  <w:r>
                    <w:rPr>
                      <w:rFonts w:hint="eastAsia" w:ascii="宋体" w:hAnsi="宋体" w:eastAsia="宋体" w:cs="宋体"/>
                      <w:color w:val="auto"/>
                      <w:kern w:val="0"/>
                      <w:sz w:val="21"/>
                      <w:szCs w:val="21"/>
                      <w:lang w:val="en-US" w:eastAsia="zh-CN" w:bidi="ar"/>
                    </w:rPr>
                    <w:t>含穿越可溶岩地层隧道的项目</w:t>
                  </w:r>
                </w:p>
              </w:tc>
              <w:tc>
                <w:tcPr>
                  <w:tcW w:w="1739" w:type="dxa"/>
                  <w:vAlign w:val="center"/>
                </w:tcPr>
                <w:p>
                  <w:pPr>
                    <w:keepNext w:val="0"/>
                    <w:keepLines w:val="0"/>
                    <w:widowControl/>
                    <w:suppressLineNumbers w:val="0"/>
                    <w:jc w:val="center"/>
                    <w:rPr>
                      <w:color w:val="auto"/>
                      <w:sz w:val="21"/>
                      <w:szCs w:val="21"/>
                      <w:vertAlign w:val="baseline"/>
                    </w:rPr>
                  </w:pPr>
                  <w:r>
                    <w:rPr>
                      <w:rFonts w:hint="eastAsia" w:ascii="宋体" w:hAnsi="宋体" w:eastAsia="宋体" w:cs="宋体"/>
                      <w:color w:val="auto"/>
                      <w:kern w:val="0"/>
                      <w:sz w:val="21"/>
                      <w:szCs w:val="21"/>
                      <w:lang w:val="en-US" w:eastAsia="zh-CN" w:bidi="ar"/>
                    </w:rPr>
                    <w:t>本项目为防洪</w:t>
                  </w:r>
                  <w:r>
                    <w:rPr>
                      <w:rFonts w:hint="eastAsia" w:ascii="宋体" w:hAnsi="宋体" w:cs="宋体"/>
                      <w:color w:val="auto"/>
                      <w:kern w:val="0"/>
                      <w:sz w:val="21"/>
                      <w:szCs w:val="21"/>
                      <w:lang w:val="en-US" w:eastAsia="zh-CN" w:bidi="ar"/>
                    </w:rPr>
                    <w:t>堤防</w:t>
                  </w:r>
                  <w:r>
                    <w:rPr>
                      <w:rFonts w:hint="eastAsia" w:ascii="宋体" w:hAnsi="宋体" w:eastAsia="宋体" w:cs="宋体"/>
                      <w:color w:val="auto"/>
                      <w:kern w:val="0"/>
                      <w:sz w:val="21"/>
                      <w:szCs w:val="21"/>
                      <w:lang w:val="en-US" w:eastAsia="zh-CN" w:bidi="ar"/>
                    </w:rPr>
                    <w:t>工程，工程内容无</w:t>
                  </w:r>
                  <w:r>
                    <w:rPr>
                      <w:rFonts w:hint="eastAsia" w:ascii="宋体" w:hAnsi="宋体" w:cs="宋体"/>
                      <w:color w:val="auto"/>
                      <w:kern w:val="0"/>
                      <w:sz w:val="21"/>
                      <w:szCs w:val="21"/>
                      <w:lang w:val="en-US" w:eastAsia="zh-CN" w:bidi="ar"/>
                    </w:rPr>
                    <w:t>隧道</w:t>
                  </w:r>
                  <w:r>
                    <w:rPr>
                      <w:rFonts w:hint="eastAsia" w:ascii="宋体" w:hAnsi="宋体" w:eastAsia="宋体" w:cs="宋体"/>
                      <w:color w:val="auto"/>
                      <w:kern w:val="0"/>
                      <w:sz w:val="21"/>
                      <w:szCs w:val="21"/>
                      <w:lang w:val="en-US" w:eastAsia="zh-CN" w:bidi="ar"/>
                    </w:rPr>
                    <w:t>建设，无需设置地下水专项评价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Align w:val="center"/>
                </w:tcPr>
                <w:p>
                  <w:pPr>
                    <w:keepNext w:val="0"/>
                    <w:keepLines w:val="0"/>
                    <w:widowControl/>
                    <w:suppressLineNumbers w:val="0"/>
                    <w:jc w:val="center"/>
                    <w:rPr>
                      <w:color w:val="auto"/>
                      <w:sz w:val="21"/>
                      <w:szCs w:val="21"/>
                      <w:vertAlign w:val="baseline"/>
                    </w:rPr>
                  </w:pPr>
                  <w:r>
                    <w:rPr>
                      <w:rFonts w:hint="eastAsia" w:ascii="宋体" w:hAnsi="宋体" w:eastAsia="宋体" w:cs="宋体"/>
                      <w:color w:val="auto"/>
                      <w:kern w:val="0"/>
                      <w:sz w:val="21"/>
                      <w:szCs w:val="21"/>
                      <w:lang w:val="en-US" w:eastAsia="zh-CN" w:bidi="ar"/>
                    </w:rPr>
                    <w:t>生态</w:t>
                  </w:r>
                </w:p>
              </w:tc>
              <w:tc>
                <w:tcPr>
                  <w:tcW w:w="4190" w:type="dxa"/>
                  <w:vAlign w:val="center"/>
                </w:tcPr>
                <w:p>
                  <w:pPr>
                    <w:keepNext w:val="0"/>
                    <w:keepLines w:val="0"/>
                    <w:widowControl/>
                    <w:suppressLineNumbers w:val="0"/>
                    <w:jc w:val="left"/>
                    <w:rPr>
                      <w:color w:val="auto"/>
                      <w:sz w:val="21"/>
                      <w:szCs w:val="21"/>
                      <w:vertAlign w:val="baseline"/>
                    </w:rPr>
                  </w:pPr>
                  <w:r>
                    <w:rPr>
                      <w:rFonts w:hint="eastAsia" w:ascii="宋体" w:hAnsi="宋体" w:eastAsia="宋体" w:cs="宋体"/>
                      <w:color w:val="auto"/>
                      <w:kern w:val="0"/>
                      <w:sz w:val="21"/>
                      <w:szCs w:val="21"/>
                      <w:lang w:val="en-US" w:eastAsia="zh-CN" w:bidi="ar"/>
                    </w:rPr>
                    <w:t>涉及环境敏感区（不包括饮用水水源保护区，以居住、医疗卫生、文化教育、科研、行政办公为主要功能的区域，以及文物保护单位）的项目</w:t>
                  </w:r>
                </w:p>
              </w:tc>
              <w:tc>
                <w:tcPr>
                  <w:tcW w:w="1739" w:type="dxa"/>
                  <w:vAlign w:val="center"/>
                </w:tcPr>
                <w:p>
                  <w:pPr>
                    <w:keepNext w:val="0"/>
                    <w:keepLines w:val="0"/>
                    <w:widowControl/>
                    <w:suppressLineNumbers w:val="0"/>
                    <w:jc w:val="center"/>
                    <w:rPr>
                      <w:color w:val="auto"/>
                    </w:rPr>
                  </w:pPr>
                  <w:r>
                    <w:rPr>
                      <w:rFonts w:hint="eastAsia" w:ascii="宋体" w:hAnsi="宋体" w:eastAsia="宋体" w:cs="宋体"/>
                      <w:color w:val="auto"/>
                      <w:kern w:val="0"/>
                      <w:sz w:val="21"/>
                      <w:szCs w:val="21"/>
                      <w:lang w:val="en-US" w:eastAsia="zh-CN" w:bidi="ar"/>
                    </w:rPr>
                    <w:t>本项目不涉及环</w:t>
                  </w:r>
                </w:p>
                <w:p>
                  <w:pPr>
                    <w:keepNext w:val="0"/>
                    <w:keepLines w:val="0"/>
                    <w:widowControl/>
                    <w:suppressLineNumbers w:val="0"/>
                    <w:jc w:val="center"/>
                    <w:rPr>
                      <w:color w:val="auto"/>
                    </w:rPr>
                  </w:pPr>
                  <w:r>
                    <w:rPr>
                      <w:rFonts w:hint="eastAsia" w:ascii="宋体" w:hAnsi="宋体" w:eastAsia="宋体" w:cs="宋体"/>
                      <w:color w:val="auto"/>
                      <w:kern w:val="0"/>
                      <w:sz w:val="21"/>
                      <w:szCs w:val="21"/>
                      <w:lang w:val="en-US" w:eastAsia="zh-CN" w:bidi="ar"/>
                    </w:rPr>
                    <w:t>境敏感区不设生</w:t>
                  </w:r>
                </w:p>
                <w:p>
                  <w:pPr>
                    <w:keepNext w:val="0"/>
                    <w:keepLines w:val="0"/>
                    <w:widowControl/>
                    <w:suppressLineNumbers w:val="0"/>
                    <w:jc w:val="center"/>
                    <w:rPr>
                      <w:color w:val="auto"/>
                      <w:sz w:val="21"/>
                      <w:szCs w:val="21"/>
                      <w:vertAlign w:val="baseline"/>
                    </w:rPr>
                  </w:pPr>
                  <w:r>
                    <w:rPr>
                      <w:rFonts w:hint="eastAsia" w:ascii="宋体" w:hAnsi="宋体" w:eastAsia="宋体" w:cs="宋体"/>
                      <w:color w:val="auto"/>
                      <w:kern w:val="0"/>
                      <w:sz w:val="21"/>
                      <w:szCs w:val="21"/>
                      <w:lang w:val="en-US" w:eastAsia="zh-CN" w:bidi="ar"/>
                    </w:rPr>
                    <w:t>态专项评价。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Align w:val="center"/>
                </w:tcPr>
                <w:p>
                  <w:pPr>
                    <w:keepNext w:val="0"/>
                    <w:keepLines w:val="0"/>
                    <w:widowControl/>
                    <w:suppressLineNumbers w:val="0"/>
                    <w:jc w:val="center"/>
                    <w:rPr>
                      <w:color w:val="auto"/>
                      <w:sz w:val="21"/>
                      <w:szCs w:val="21"/>
                      <w:vertAlign w:val="baseline"/>
                    </w:rPr>
                  </w:pPr>
                  <w:r>
                    <w:rPr>
                      <w:rFonts w:hint="eastAsia" w:ascii="宋体" w:hAnsi="宋体" w:eastAsia="宋体" w:cs="宋体"/>
                      <w:color w:val="auto"/>
                      <w:kern w:val="0"/>
                      <w:sz w:val="21"/>
                      <w:szCs w:val="21"/>
                      <w:lang w:val="en-US" w:eastAsia="zh-CN" w:bidi="ar"/>
                    </w:rPr>
                    <w:t>大气</w:t>
                  </w:r>
                </w:p>
              </w:tc>
              <w:tc>
                <w:tcPr>
                  <w:tcW w:w="4190" w:type="dxa"/>
                  <w:vAlign w:val="center"/>
                </w:tcPr>
                <w:p>
                  <w:pPr>
                    <w:keepNext w:val="0"/>
                    <w:keepLines w:val="0"/>
                    <w:widowControl/>
                    <w:suppressLineNumbers w:val="0"/>
                    <w:jc w:val="left"/>
                    <w:rPr>
                      <w:color w:val="auto"/>
                    </w:rPr>
                  </w:pPr>
                  <w:r>
                    <w:rPr>
                      <w:rFonts w:hint="eastAsia" w:ascii="宋体" w:hAnsi="宋体" w:eastAsia="宋体" w:cs="宋体"/>
                      <w:b/>
                      <w:bCs/>
                      <w:color w:val="auto"/>
                      <w:kern w:val="0"/>
                      <w:sz w:val="21"/>
                      <w:szCs w:val="21"/>
                      <w:lang w:val="en-US" w:eastAsia="zh-CN" w:bidi="ar"/>
                    </w:rPr>
                    <w:t>油气、液体化工码头：</w:t>
                  </w:r>
                  <w:r>
                    <w:rPr>
                      <w:rFonts w:hint="eastAsia" w:ascii="宋体" w:hAnsi="宋体" w:eastAsia="宋体" w:cs="宋体"/>
                      <w:color w:val="auto"/>
                      <w:kern w:val="0"/>
                      <w:sz w:val="21"/>
                      <w:szCs w:val="21"/>
                      <w:lang w:val="en-US" w:eastAsia="zh-CN" w:bidi="ar"/>
                    </w:rPr>
                    <w:t xml:space="preserve">全部； </w:t>
                  </w:r>
                </w:p>
                <w:p>
                  <w:pPr>
                    <w:keepNext w:val="0"/>
                    <w:keepLines w:val="0"/>
                    <w:widowControl/>
                    <w:suppressLineNumbers w:val="0"/>
                    <w:jc w:val="left"/>
                    <w:rPr>
                      <w:color w:val="auto"/>
                      <w:sz w:val="21"/>
                      <w:szCs w:val="21"/>
                      <w:vertAlign w:val="baseline"/>
                    </w:rPr>
                  </w:pPr>
                  <w:r>
                    <w:rPr>
                      <w:rFonts w:hint="eastAsia" w:ascii="宋体" w:hAnsi="宋体" w:eastAsia="宋体" w:cs="宋体"/>
                      <w:b/>
                      <w:bCs/>
                      <w:color w:val="auto"/>
                      <w:kern w:val="0"/>
                      <w:sz w:val="21"/>
                      <w:szCs w:val="21"/>
                      <w:lang w:val="en-US" w:eastAsia="zh-CN" w:bidi="ar"/>
                    </w:rPr>
                    <w:t>干散货（含煤炭、矿石）、件杂、多用途、通用码头：</w:t>
                  </w:r>
                  <w:r>
                    <w:rPr>
                      <w:rFonts w:hint="eastAsia" w:ascii="宋体" w:hAnsi="宋体" w:eastAsia="宋体" w:cs="宋体"/>
                      <w:color w:val="auto"/>
                      <w:kern w:val="0"/>
                      <w:sz w:val="21"/>
                      <w:szCs w:val="21"/>
                      <w:lang w:val="en-US" w:eastAsia="zh-CN" w:bidi="ar"/>
                    </w:rPr>
                    <w:t>涉及粉尘、挥发性有机物排放的项目</w:t>
                  </w:r>
                </w:p>
              </w:tc>
              <w:tc>
                <w:tcPr>
                  <w:tcW w:w="1739" w:type="dxa"/>
                  <w:vAlign w:val="center"/>
                </w:tcPr>
                <w:p>
                  <w:pPr>
                    <w:keepNext w:val="0"/>
                    <w:keepLines w:val="0"/>
                    <w:widowControl/>
                    <w:suppressLineNumbers w:val="0"/>
                    <w:jc w:val="center"/>
                    <w:rPr>
                      <w:color w:val="auto"/>
                    </w:rPr>
                  </w:pPr>
                  <w:r>
                    <w:rPr>
                      <w:rFonts w:hint="eastAsia" w:ascii="宋体" w:hAnsi="宋体" w:eastAsia="宋体" w:cs="宋体"/>
                      <w:color w:val="auto"/>
                      <w:kern w:val="0"/>
                      <w:sz w:val="21"/>
                      <w:szCs w:val="21"/>
                      <w:lang w:val="en-US" w:eastAsia="zh-CN" w:bidi="ar"/>
                    </w:rPr>
                    <w:t>本项目不涉及所</w:t>
                  </w:r>
                </w:p>
                <w:p>
                  <w:pPr>
                    <w:keepNext w:val="0"/>
                    <w:keepLines w:val="0"/>
                    <w:widowControl/>
                    <w:suppressLineNumbers w:val="0"/>
                    <w:jc w:val="center"/>
                    <w:rPr>
                      <w:color w:val="auto"/>
                    </w:rPr>
                  </w:pPr>
                  <w:r>
                    <w:rPr>
                      <w:rFonts w:hint="eastAsia" w:ascii="宋体" w:hAnsi="宋体" w:eastAsia="宋体" w:cs="宋体"/>
                      <w:color w:val="auto"/>
                      <w:kern w:val="0"/>
                      <w:sz w:val="21"/>
                      <w:szCs w:val="21"/>
                      <w:lang w:val="en-US" w:eastAsia="zh-CN" w:bidi="ar"/>
                    </w:rPr>
                    <w:t>述行业，无需设</w:t>
                  </w:r>
                </w:p>
                <w:p>
                  <w:pPr>
                    <w:keepNext w:val="0"/>
                    <w:keepLines w:val="0"/>
                    <w:widowControl/>
                    <w:suppressLineNumbers w:val="0"/>
                    <w:jc w:val="center"/>
                    <w:rPr>
                      <w:color w:val="auto"/>
                      <w:sz w:val="21"/>
                      <w:szCs w:val="21"/>
                      <w:vertAlign w:val="baseline"/>
                    </w:rPr>
                  </w:pPr>
                  <w:r>
                    <w:rPr>
                      <w:rFonts w:hint="eastAsia" w:ascii="宋体" w:hAnsi="宋体" w:eastAsia="宋体" w:cs="宋体"/>
                      <w:color w:val="auto"/>
                      <w:kern w:val="0"/>
                      <w:sz w:val="21"/>
                      <w:szCs w:val="21"/>
                      <w:lang w:val="en-US" w:eastAsia="zh-CN" w:bidi="ar"/>
                    </w:rPr>
                    <w:t>置大气专项评价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Align w:val="center"/>
                </w:tcPr>
                <w:p>
                  <w:pPr>
                    <w:keepNext w:val="0"/>
                    <w:keepLines w:val="0"/>
                    <w:widowControl/>
                    <w:suppressLineNumbers w:val="0"/>
                    <w:jc w:val="center"/>
                    <w:rPr>
                      <w:color w:val="auto"/>
                      <w:sz w:val="21"/>
                      <w:szCs w:val="21"/>
                      <w:vertAlign w:val="baseline"/>
                    </w:rPr>
                  </w:pPr>
                  <w:r>
                    <w:rPr>
                      <w:rFonts w:hint="eastAsia" w:ascii="宋体" w:hAnsi="宋体" w:eastAsia="宋体" w:cs="宋体"/>
                      <w:color w:val="auto"/>
                      <w:kern w:val="0"/>
                      <w:sz w:val="21"/>
                      <w:szCs w:val="21"/>
                      <w:lang w:val="en-US" w:eastAsia="zh-CN" w:bidi="ar"/>
                    </w:rPr>
                    <w:t>噪声</w:t>
                  </w:r>
                </w:p>
              </w:tc>
              <w:tc>
                <w:tcPr>
                  <w:tcW w:w="4190" w:type="dxa"/>
                  <w:vAlign w:val="center"/>
                </w:tcPr>
                <w:p>
                  <w:pPr>
                    <w:keepNext w:val="0"/>
                    <w:keepLines w:val="0"/>
                    <w:widowControl/>
                    <w:suppressLineNumbers w:val="0"/>
                    <w:jc w:val="left"/>
                    <w:rPr>
                      <w:color w:val="auto"/>
                    </w:rPr>
                  </w:pPr>
                  <w:r>
                    <w:rPr>
                      <w:rFonts w:hint="eastAsia" w:ascii="宋体" w:hAnsi="宋体" w:eastAsia="宋体" w:cs="宋体"/>
                      <w:b/>
                      <w:bCs/>
                      <w:color w:val="auto"/>
                      <w:kern w:val="0"/>
                      <w:sz w:val="21"/>
                      <w:szCs w:val="21"/>
                      <w:lang w:val="en-US" w:eastAsia="zh-CN" w:bidi="ar"/>
                    </w:rPr>
                    <w:t>公路、铁路、机场等交通运输业</w:t>
                  </w:r>
                  <w:r>
                    <w:rPr>
                      <w:rFonts w:hint="eastAsia" w:ascii="宋体" w:hAnsi="宋体" w:eastAsia="宋体" w:cs="宋体"/>
                      <w:color w:val="auto"/>
                      <w:kern w:val="0"/>
                      <w:sz w:val="21"/>
                      <w:szCs w:val="21"/>
                      <w:lang w:val="en-US" w:eastAsia="zh-CN" w:bidi="ar"/>
                    </w:rPr>
                    <w:t>涉及环境敏感区（以居住、医疗卫生、文化教育、科研、行政办公为主要功能的区域）的项目；</w:t>
                  </w:r>
                </w:p>
                <w:p>
                  <w:pPr>
                    <w:keepNext w:val="0"/>
                    <w:keepLines w:val="0"/>
                    <w:widowControl/>
                    <w:suppressLineNumbers w:val="0"/>
                    <w:jc w:val="left"/>
                    <w:rPr>
                      <w:color w:val="auto"/>
                      <w:sz w:val="21"/>
                      <w:szCs w:val="21"/>
                      <w:vertAlign w:val="baseline"/>
                    </w:rPr>
                  </w:pPr>
                  <w:r>
                    <w:rPr>
                      <w:rFonts w:hint="eastAsia" w:ascii="宋体" w:hAnsi="宋体" w:eastAsia="宋体" w:cs="宋体"/>
                      <w:b/>
                      <w:bCs/>
                      <w:color w:val="auto"/>
                      <w:kern w:val="0"/>
                      <w:sz w:val="21"/>
                      <w:szCs w:val="21"/>
                      <w:lang w:val="en-US" w:eastAsia="zh-CN" w:bidi="ar"/>
                    </w:rPr>
                    <w:t>城市道路（不含维护，不含支路、人行 天桥、人行地道）：</w:t>
                  </w:r>
                  <w:r>
                    <w:rPr>
                      <w:rFonts w:hint="eastAsia" w:ascii="宋体" w:hAnsi="宋体" w:eastAsia="宋体" w:cs="宋体"/>
                      <w:color w:val="auto"/>
                      <w:kern w:val="0"/>
                      <w:sz w:val="21"/>
                      <w:szCs w:val="21"/>
                      <w:lang w:val="en-US" w:eastAsia="zh-CN" w:bidi="ar"/>
                    </w:rPr>
                    <w:t>全部</w:t>
                  </w:r>
                </w:p>
              </w:tc>
              <w:tc>
                <w:tcPr>
                  <w:tcW w:w="1739" w:type="dxa"/>
                  <w:vAlign w:val="center"/>
                </w:tcPr>
                <w:p>
                  <w:pPr>
                    <w:keepNext w:val="0"/>
                    <w:keepLines w:val="0"/>
                    <w:widowControl/>
                    <w:suppressLineNumbers w:val="0"/>
                    <w:jc w:val="center"/>
                    <w:rPr>
                      <w:color w:val="auto"/>
                    </w:rPr>
                  </w:pPr>
                  <w:r>
                    <w:rPr>
                      <w:rFonts w:hint="eastAsia" w:ascii="宋体" w:hAnsi="宋体" w:eastAsia="宋体" w:cs="宋体"/>
                      <w:color w:val="auto"/>
                      <w:kern w:val="0"/>
                      <w:sz w:val="21"/>
                      <w:szCs w:val="21"/>
                      <w:lang w:val="en-US" w:eastAsia="zh-CN" w:bidi="ar"/>
                    </w:rPr>
                    <w:t>本项目不涉及所</w:t>
                  </w:r>
                </w:p>
                <w:p>
                  <w:pPr>
                    <w:keepNext w:val="0"/>
                    <w:keepLines w:val="0"/>
                    <w:widowControl/>
                    <w:suppressLineNumbers w:val="0"/>
                    <w:jc w:val="center"/>
                    <w:rPr>
                      <w:color w:val="auto"/>
                    </w:rPr>
                  </w:pPr>
                  <w:r>
                    <w:rPr>
                      <w:rFonts w:hint="eastAsia" w:ascii="宋体" w:hAnsi="宋体" w:eastAsia="宋体" w:cs="宋体"/>
                      <w:color w:val="auto"/>
                      <w:kern w:val="0"/>
                      <w:sz w:val="21"/>
                      <w:szCs w:val="21"/>
                      <w:lang w:val="en-US" w:eastAsia="zh-CN" w:bidi="ar"/>
                    </w:rPr>
                    <w:t>述行业，无需设</w:t>
                  </w:r>
                </w:p>
                <w:p>
                  <w:pPr>
                    <w:keepNext w:val="0"/>
                    <w:keepLines w:val="0"/>
                    <w:widowControl/>
                    <w:suppressLineNumbers w:val="0"/>
                    <w:jc w:val="center"/>
                    <w:rPr>
                      <w:color w:val="auto"/>
                      <w:sz w:val="21"/>
                      <w:szCs w:val="21"/>
                      <w:vertAlign w:val="baseline"/>
                    </w:rPr>
                  </w:pPr>
                  <w:r>
                    <w:rPr>
                      <w:rFonts w:hint="eastAsia" w:ascii="宋体" w:hAnsi="宋体" w:eastAsia="宋体" w:cs="宋体"/>
                      <w:color w:val="auto"/>
                      <w:kern w:val="0"/>
                      <w:sz w:val="21"/>
                      <w:szCs w:val="21"/>
                      <w:lang w:val="en-US" w:eastAsia="zh-CN" w:bidi="ar"/>
                    </w:rPr>
                    <w:t>置噪声专项评价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Align w:val="center"/>
                </w:tcPr>
                <w:p>
                  <w:pPr>
                    <w:keepNext w:val="0"/>
                    <w:keepLines w:val="0"/>
                    <w:widowControl/>
                    <w:suppressLineNumbers w:val="0"/>
                    <w:jc w:val="center"/>
                    <w:rPr>
                      <w:color w:val="auto"/>
                      <w:sz w:val="21"/>
                      <w:szCs w:val="21"/>
                      <w:vertAlign w:val="baseline"/>
                    </w:rPr>
                  </w:pPr>
                  <w:r>
                    <w:rPr>
                      <w:rFonts w:hint="eastAsia" w:ascii="宋体" w:hAnsi="宋体" w:eastAsia="宋体" w:cs="宋体"/>
                      <w:color w:val="auto"/>
                      <w:kern w:val="0"/>
                      <w:sz w:val="21"/>
                      <w:szCs w:val="21"/>
                      <w:lang w:val="en-US" w:eastAsia="zh-CN" w:bidi="ar"/>
                    </w:rPr>
                    <w:t>环境风险</w:t>
                  </w:r>
                </w:p>
              </w:tc>
              <w:tc>
                <w:tcPr>
                  <w:tcW w:w="4190" w:type="dxa"/>
                  <w:vAlign w:val="center"/>
                </w:tcPr>
                <w:p>
                  <w:pPr>
                    <w:keepNext w:val="0"/>
                    <w:keepLines w:val="0"/>
                    <w:widowControl/>
                    <w:suppressLineNumbers w:val="0"/>
                    <w:jc w:val="left"/>
                    <w:rPr>
                      <w:color w:val="auto"/>
                    </w:rPr>
                  </w:pPr>
                  <w:r>
                    <w:rPr>
                      <w:rFonts w:hint="eastAsia" w:ascii="宋体" w:hAnsi="宋体" w:eastAsia="宋体" w:cs="宋体"/>
                      <w:b/>
                      <w:bCs/>
                      <w:color w:val="auto"/>
                      <w:kern w:val="0"/>
                      <w:sz w:val="21"/>
                      <w:szCs w:val="21"/>
                      <w:lang w:val="en-US" w:eastAsia="zh-CN" w:bidi="ar"/>
                    </w:rPr>
                    <w:t>石油和天然气开采：</w:t>
                  </w:r>
                  <w:r>
                    <w:rPr>
                      <w:rFonts w:hint="eastAsia" w:ascii="宋体" w:hAnsi="宋体" w:eastAsia="宋体" w:cs="宋体"/>
                      <w:color w:val="auto"/>
                      <w:kern w:val="0"/>
                      <w:sz w:val="21"/>
                      <w:szCs w:val="21"/>
                      <w:lang w:val="en-US" w:eastAsia="zh-CN" w:bidi="ar"/>
                    </w:rPr>
                    <w:t>全部；</w:t>
                  </w:r>
                </w:p>
                <w:p>
                  <w:pPr>
                    <w:keepNext w:val="0"/>
                    <w:keepLines w:val="0"/>
                    <w:widowControl/>
                    <w:suppressLineNumbers w:val="0"/>
                    <w:jc w:val="left"/>
                    <w:rPr>
                      <w:color w:val="auto"/>
                    </w:rPr>
                  </w:pPr>
                  <w:r>
                    <w:rPr>
                      <w:rFonts w:hint="eastAsia" w:ascii="宋体" w:hAnsi="宋体" w:eastAsia="宋体" w:cs="宋体"/>
                      <w:b/>
                      <w:bCs/>
                      <w:color w:val="auto"/>
                      <w:kern w:val="0"/>
                      <w:sz w:val="21"/>
                      <w:szCs w:val="21"/>
                      <w:lang w:val="en-US" w:eastAsia="zh-CN" w:bidi="ar"/>
                    </w:rPr>
                    <w:t>油气、液体化工码头：</w:t>
                  </w:r>
                  <w:r>
                    <w:rPr>
                      <w:rFonts w:hint="eastAsia" w:ascii="宋体" w:hAnsi="宋体" w:eastAsia="宋体" w:cs="宋体"/>
                      <w:color w:val="auto"/>
                      <w:kern w:val="0"/>
                      <w:sz w:val="21"/>
                      <w:szCs w:val="21"/>
                      <w:lang w:val="en-US" w:eastAsia="zh-CN" w:bidi="ar"/>
                    </w:rPr>
                    <w:t>全部；</w:t>
                  </w:r>
                </w:p>
                <w:p>
                  <w:pPr>
                    <w:keepNext w:val="0"/>
                    <w:keepLines w:val="0"/>
                    <w:widowControl/>
                    <w:suppressLineNumbers w:val="0"/>
                    <w:jc w:val="left"/>
                    <w:rPr>
                      <w:color w:val="auto"/>
                      <w:sz w:val="21"/>
                      <w:szCs w:val="21"/>
                      <w:vertAlign w:val="baseline"/>
                    </w:rPr>
                  </w:pPr>
                  <w:r>
                    <w:rPr>
                      <w:rFonts w:hint="eastAsia" w:ascii="宋体" w:hAnsi="宋体" w:eastAsia="宋体" w:cs="宋体"/>
                      <w:b/>
                      <w:bCs/>
                      <w:color w:val="auto"/>
                      <w:kern w:val="0"/>
                      <w:sz w:val="21"/>
                      <w:szCs w:val="21"/>
                      <w:lang w:val="en-US" w:eastAsia="zh-CN" w:bidi="ar"/>
                    </w:rPr>
                    <w:t>原油、成品油、天然气管线（不含城镇天然气管线、企业厂区内管线），危险化学品输送管线（不含企业厂区内管线）：</w:t>
                  </w:r>
                  <w:r>
                    <w:rPr>
                      <w:rFonts w:hint="eastAsia" w:ascii="宋体" w:hAnsi="宋体" w:eastAsia="宋体" w:cs="宋体"/>
                      <w:color w:val="auto"/>
                      <w:kern w:val="0"/>
                      <w:sz w:val="21"/>
                      <w:szCs w:val="21"/>
                      <w:lang w:val="en-US" w:eastAsia="zh-CN" w:bidi="ar"/>
                    </w:rPr>
                    <w:t>全部</w:t>
                  </w:r>
                </w:p>
              </w:tc>
              <w:tc>
                <w:tcPr>
                  <w:tcW w:w="1739" w:type="dxa"/>
                  <w:vAlign w:val="center"/>
                </w:tcPr>
                <w:p>
                  <w:pPr>
                    <w:keepNext w:val="0"/>
                    <w:keepLines w:val="0"/>
                    <w:widowControl/>
                    <w:suppressLineNumbers w:val="0"/>
                    <w:jc w:val="center"/>
                    <w:rPr>
                      <w:color w:val="auto"/>
                    </w:rPr>
                  </w:pPr>
                  <w:r>
                    <w:rPr>
                      <w:rFonts w:hint="eastAsia" w:ascii="宋体" w:hAnsi="宋体" w:eastAsia="宋体" w:cs="宋体"/>
                      <w:color w:val="auto"/>
                      <w:kern w:val="0"/>
                      <w:sz w:val="21"/>
                      <w:szCs w:val="21"/>
                      <w:lang w:val="en-US" w:eastAsia="zh-CN" w:bidi="ar"/>
                    </w:rPr>
                    <w:t>本项目不涉及所</w:t>
                  </w:r>
                </w:p>
                <w:p>
                  <w:pPr>
                    <w:keepNext w:val="0"/>
                    <w:keepLines w:val="0"/>
                    <w:widowControl/>
                    <w:suppressLineNumbers w:val="0"/>
                    <w:jc w:val="center"/>
                    <w:rPr>
                      <w:color w:val="auto"/>
                    </w:rPr>
                  </w:pPr>
                  <w:r>
                    <w:rPr>
                      <w:rFonts w:hint="eastAsia" w:ascii="宋体" w:hAnsi="宋体" w:eastAsia="宋体" w:cs="宋体"/>
                      <w:color w:val="auto"/>
                      <w:kern w:val="0"/>
                      <w:sz w:val="21"/>
                      <w:szCs w:val="21"/>
                      <w:lang w:val="en-US" w:eastAsia="zh-CN" w:bidi="ar"/>
                    </w:rPr>
                    <w:t>述行业，无需设</w:t>
                  </w:r>
                </w:p>
                <w:p>
                  <w:pPr>
                    <w:keepNext w:val="0"/>
                    <w:keepLines w:val="0"/>
                    <w:widowControl/>
                    <w:suppressLineNumbers w:val="0"/>
                    <w:jc w:val="center"/>
                    <w:rPr>
                      <w:color w:val="auto"/>
                      <w:sz w:val="21"/>
                      <w:szCs w:val="21"/>
                      <w:vertAlign w:val="baseline"/>
                    </w:rPr>
                  </w:pPr>
                  <w:r>
                    <w:rPr>
                      <w:rFonts w:hint="eastAsia" w:ascii="宋体" w:hAnsi="宋体" w:eastAsia="宋体" w:cs="宋体"/>
                      <w:color w:val="auto"/>
                      <w:kern w:val="0"/>
                      <w:sz w:val="21"/>
                      <w:szCs w:val="21"/>
                      <w:lang w:val="en-US" w:eastAsia="zh-CN" w:bidi="ar"/>
                    </w:rPr>
                    <w:t>环境风险专项评价。</w:t>
                  </w:r>
                </w:p>
              </w:tc>
            </w:tr>
          </w:tbl>
          <w:p>
            <w:pPr>
              <w:keepNext w:val="0"/>
              <w:keepLines w:val="0"/>
              <w:widowControl/>
              <w:suppressLineNumbers w:val="0"/>
              <w:jc w:val="left"/>
              <w:rPr>
                <w:color w:val="auto"/>
                <w:szCs w:val="21"/>
              </w:rPr>
            </w:pPr>
            <w:r>
              <w:rPr>
                <w:rFonts w:ascii="黑体" w:hAnsi="宋体" w:eastAsia="黑体" w:cs="黑体"/>
                <w:color w:val="auto"/>
                <w:kern w:val="0"/>
                <w:sz w:val="21"/>
                <w:szCs w:val="21"/>
                <w:lang w:val="en-US" w:eastAsia="zh-CN" w:bidi="ar"/>
              </w:rPr>
              <w:t>注：</w:t>
            </w:r>
            <w:r>
              <w:rPr>
                <w:rFonts w:hint="eastAsia" w:ascii="黑体" w:hAnsi="宋体" w:eastAsia="黑体" w:cs="黑体"/>
                <w:b/>
                <w:bCs/>
                <w:color w:val="auto"/>
                <w:kern w:val="0"/>
                <w:sz w:val="21"/>
                <w:szCs w:val="21"/>
                <w:lang w:val="en-US" w:eastAsia="zh-CN" w:bidi="ar"/>
              </w:rPr>
              <w:t>“</w:t>
            </w:r>
            <w:r>
              <w:rPr>
                <w:rFonts w:hint="eastAsia" w:ascii="黑体" w:hAnsi="宋体" w:eastAsia="黑体" w:cs="黑体"/>
                <w:color w:val="auto"/>
                <w:kern w:val="0"/>
                <w:sz w:val="21"/>
                <w:szCs w:val="21"/>
                <w:lang w:val="en-US" w:eastAsia="zh-CN" w:bidi="ar"/>
              </w:rPr>
              <w:t>涉及环境敏感区</w:t>
            </w:r>
            <w:r>
              <w:rPr>
                <w:rFonts w:hint="eastAsia" w:ascii="黑体" w:hAnsi="宋体" w:eastAsia="黑体" w:cs="黑体"/>
                <w:b/>
                <w:bCs/>
                <w:color w:val="auto"/>
                <w:kern w:val="0"/>
                <w:sz w:val="21"/>
                <w:szCs w:val="21"/>
                <w:lang w:val="en-US" w:eastAsia="zh-CN" w:bidi="ar"/>
              </w:rPr>
              <w:t>”</w:t>
            </w:r>
            <w:r>
              <w:rPr>
                <w:rFonts w:hint="eastAsia" w:ascii="黑体" w:hAnsi="宋体" w:eastAsia="黑体" w:cs="黑体"/>
                <w:color w:val="auto"/>
                <w:kern w:val="0"/>
                <w:sz w:val="21"/>
                <w:szCs w:val="21"/>
                <w:lang w:val="en-US" w:eastAsia="zh-CN" w:bidi="ar"/>
              </w:rPr>
              <w:t>是指建设项目位于、穿（跨）越（无害化通过的除外）环境敏感区，或环境影响范围涵盖环境敏感区。环境敏感区是指《建设项目环境影响评价分类管理名录》中针对该类项目所列的敏感区。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843" w:type="dxa"/>
            <w:tcMar>
              <w:top w:w="16" w:type="dxa"/>
              <w:left w:w="16" w:type="dxa"/>
              <w:right w:w="16" w:type="dxa"/>
            </w:tcMar>
            <w:vAlign w:val="center"/>
          </w:tcPr>
          <w:p>
            <w:pPr>
              <w:autoSpaceDE w:val="0"/>
              <w:autoSpaceDN w:val="0"/>
              <w:adjustRightInd w:val="0"/>
              <w:snapToGrid w:val="0"/>
              <w:jc w:val="center"/>
              <w:rPr>
                <w:color w:val="auto"/>
                <w:kern w:val="0"/>
                <w:szCs w:val="21"/>
              </w:rPr>
            </w:pPr>
            <w:r>
              <w:rPr>
                <w:color w:val="auto"/>
                <w:szCs w:val="21"/>
              </w:rPr>
              <w:t>规划情况</w:t>
            </w:r>
          </w:p>
        </w:tc>
        <w:tc>
          <w:tcPr>
            <w:tcW w:w="7196" w:type="dxa"/>
            <w:gridSpan w:val="4"/>
            <w:tcMar>
              <w:top w:w="16" w:type="dxa"/>
              <w:left w:w="16" w:type="dxa"/>
              <w:right w:w="16" w:type="dxa"/>
            </w:tcMar>
            <w:vAlign w:val="center"/>
          </w:tcPr>
          <w:p>
            <w:pPr>
              <w:autoSpaceDE w:val="0"/>
              <w:autoSpaceDN w:val="0"/>
              <w:adjustRightInd w:val="0"/>
              <w:snapToGrid w:val="0"/>
              <w:rPr>
                <w:color w:val="auto"/>
                <w:kern w:val="0"/>
                <w:szCs w:val="21"/>
              </w:rPr>
            </w:pPr>
            <w:r>
              <w:rPr>
                <w:color w:val="auto"/>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843" w:type="dxa"/>
            <w:tcMar>
              <w:top w:w="16" w:type="dxa"/>
              <w:left w:w="16" w:type="dxa"/>
              <w:right w:w="16" w:type="dxa"/>
            </w:tcMar>
            <w:vAlign w:val="center"/>
          </w:tcPr>
          <w:p>
            <w:pPr>
              <w:autoSpaceDE w:val="0"/>
              <w:autoSpaceDN w:val="0"/>
              <w:adjustRightInd w:val="0"/>
              <w:snapToGrid w:val="0"/>
              <w:jc w:val="center"/>
              <w:rPr>
                <w:color w:val="auto"/>
                <w:szCs w:val="21"/>
              </w:rPr>
            </w:pPr>
            <w:r>
              <w:rPr>
                <w:color w:val="auto"/>
                <w:szCs w:val="21"/>
              </w:rPr>
              <w:t>规划环境影响</w:t>
            </w:r>
          </w:p>
          <w:p>
            <w:pPr>
              <w:autoSpaceDE w:val="0"/>
              <w:autoSpaceDN w:val="0"/>
              <w:adjustRightInd w:val="0"/>
              <w:snapToGrid w:val="0"/>
              <w:jc w:val="center"/>
              <w:rPr>
                <w:color w:val="auto"/>
                <w:kern w:val="0"/>
                <w:szCs w:val="21"/>
              </w:rPr>
            </w:pPr>
            <w:r>
              <w:rPr>
                <w:color w:val="auto"/>
                <w:szCs w:val="21"/>
              </w:rPr>
              <w:t>评价情况</w:t>
            </w:r>
          </w:p>
        </w:tc>
        <w:tc>
          <w:tcPr>
            <w:tcW w:w="7196" w:type="dxa"/>
            <w:gridSpan w:val="4"/>
            <w:tcMar>
              <w:top w:w="16" w:type="dxa"/>
              <w:left w:w="16" w:type="dxa"/>
              <w:right w:w="16" w:type="dxa"/>
            </w:tcMar>
            <w:vAlign w:val="center"/>
          </w:tcPr>
          <w:p>
            <w:pPr>
              <w:adjustRightInd w:val="0"/>
              <w:snapToGrid w:val="0"/>
              <w:jc w:val="left"/>
              <w:rPr>
                <w:color w:val="auto"/>
                <w:kern w:val="0"/>
                <w:szCs w:val="21"/>
              </w:rPr>
            </w:pPr>
            <w:r>
              <w:rPr>
                <w:color w:val="auto"/>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7" w:hRule="atLeast"/>
        </w:trPr>
        <w:tc>
          <w:tcPr>
            <w:tcW w:w="1843" w:type="dxa"/>
            <w:tcMar>
              <w:top w:w="16" w:type="dxa"/>
              <w:left w:w="16" w:type="dxa"/>
              <w:right w:w="16" w:type="dxa"/>
            </w:tcMar>
            <w:vAlign w:val="center"/>
          </w:tcPr>
          <w:p>
            <w:pPr>
              <w:autoSpaceDE w:val="0"/>
              <w:autoSpaceDN w:val="0"/>
              <w:adjustRightInd w:val="0"/>
              <w:snapToGrid w:val="0"/>
              <w:jc w:val="center"/>
              <w:rPr>
                <w:color w:val="auto"/>
                <w:kern w:val="0"/>
                <w:szCs w:val="21"/>
              </w:rPr>
            </w:pPr>
            <w:r>
              <w:rPr>
                <w:color w:val="auto"/>
                <w:kern w:val="0"/>
                <w:szCs w:val="21"/>
              </w:rPr>
              <w:t>规划及</w:t>
            </w:r>
            <w:r>
              <w:rPr>
                <w:color w:val="auto"/>
                <w:szCs w:val="21"/>
              </w:rPr>
              <w:t>规划环境影响评价</w:t>
            </w:r>
            <w:r>
              <w:rPr>
                <w:color w:val="auto"/>
                <w:kern w:val="0"/>
                <w:szCs w:val="21"/>
              </w:rPr>
              <w:t>符合性分析</w:t>
            </w:r>
          </w:p>
        </w:tc>
        <w:tc>
          <w:tcPr>
            <w:tcW w:w="7196" w:type="dxa"/>
            <w:gridSpan w:val="4"/>
            <w:tcMar>
              <w:top w:w="16" w:type="dxa"/>
              <w:left w:w="16" w:type="dxa"/>
              <w:right w:w="16" w:type="dxa"/>
            </w:tcMar>
            <w:vAlign w:val="center"/>
          </w:tcPr>
          <w:p>
            <w:pPr>
              <w:autoSpaceDE w:val="0"/>
              <w:autoSpaceDN w:val="0"/>
              <w:adjustRightInd w:val="0"/>
              <w:snapToGrid w:val="0"/>
              <w:rPr>
                <w:color w:val="auto"/>
                <w:kern w:val="0"/>
                <w:szCs w:val="21"/>
              </w:rPr>
            </w:pPr>
            <w:r>
              <w:rPr>
                <w:color w:val="auto"/>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31" w:hRule="atLeast"/>
        </w:trPr>
        <w:tc>
          <w:tcPr>
            <w:tcW w:w="1843" w:type="dxa"/>
            <w:tcMar>
              <w:top w:w="16" w:type="dxa"/>
              <w:left w:w="16" w:type="dxa"/>
              <w:right w:w="16" w:type="dxa"/>
            </w:tcMar>
            <w:vAlign w:val="center"/>
          </w:tcPr>
          <w:p>
            <w:pPr>
              <w:autoSpaceDE w:val="0"/>
              <w:autoSpaceDN w:val="0"/>
              <w:adjustRightInd w:val="0"/>
              <w:snapToGrid w:val="0"/>
              <w:jc w:val="center"/>
              <w:rPr>
                <w:color w:val="auto"/>
                <w:kern w:val="0"/>
                <w:szCs w:val="21"/>
              </w:rPr>
            </w:pPr>
            <w:bookmarkStart w:id="2" w:name="_Hlk56690880"/>
            <w:r>
              <w:rPr>
                <w:color w:val="auto"/>
                <w:kern w:val="0"/>
                <w:szCs w:val="21"/>
              </w:rPr>
              <w:t>其他符合性分析</w:t>
            </w:r>
            <w:bookmarkEnd w:id="2"/>
          </w:p>
        </w:tc>
        <w:tc>
          <w:tcPr>
            <w:tcW w:w="7196" w:type="dxa"/>
            <w:gridSpan w:val="4"/>
            <w:tcMar>
              <w:top w:w="16" w:type="dxa"/>
              <w:left w:w="16" w:type="dxa"/>
              <w:right w:w="16" w:type="dxa"/>
            </w:tcMar>
            <w:vAlign w:val="center"/>
          </w:tcPr>
          <w:p>
            <w:pPr>
              <w:autoSpaceDE w:val="0"/>
              <w:autoSpaceDN w:val="0"/>
              <w:adjustRightInd w:val="0"/>
              <w:snapToGrid w:val="0"/>
              <w:spacing w:line="360" w:lineRule="auto"/>
              <w:ind w:firstLine="420" w:firstLineChars="200"/>
              <w:jc w:val="left"/>
              <w:rPr>
                <w:color w:val="auto"/>
                <w:kern w:val="0"/>
                <w:szCs w:val="21"/>
              </w:rPr>
            </w:pPr>
            <w:r>
              <w:rPr>
                <w:color w:val="auto"/>
                <w:kern w:val="0"/>
                <w:szCs w:val="21"/>
              </w:rPr>
              <w:t>1、产业政策符合性分析</w:t>
            </w:r>
          </w:p>
          <w:p>
            <w:pPr>
              <w:autoSpaceDE w:val="0"/>
              <w:autoSpaceDN w:val="0"/>
              <w:adjustRightInd w:val="0"/>
              <w:snapToGrid w:val="0"/>
              <w:spacing w:line="360" w:lineRule="auto"/>
              <w:ind w:firstLine="420" w:firstLineChars="200"/>
              <w:jc w:val="left"/>
              <w:rPr>
                <w:color w:val="auto"/>
                <w:kern w:val="0"/>
                <w:szCs w:val="21"/>
              </w:rPr>
            </w:pPr>
            <w:r>
              <w:rPr>
                <w:rFonts w:hint="eastAsia"/>
                <w:color w:val="auto"/>
                <w:kern w:val="0"/>
                <w:szCs w:val="21"/>
                <w:lang w:val="en-US" w:eastAsia="zh-CN"/>
              </w:rPr>
              <w:t>项目与相关产业政策的符合性分析见表</w:t>
            </w:r>
            <w:r>
              <w:rPr>
                <w:rFonts w:hint="default"/>
                <w:color w:val="auto"/>
                <w:kern w:val="0"/>
                <w:szCs w:val="21"/>
                <w:lang w:val="en-US" w:eastAsia="zh-CN"/>
              </w:rPr>
              <w:t>1-2</w:t>
            </w:r>
            <w:r>
              <w:rPr>
                <w:rFonts w:hint="eastAsia"/>
                <w:color w:val="auto"/>
                <w:kern w:val="0"/>
                <w:szCs w:val="21"/>
                <w:lang w:val="en-US" w:eastAsia="zh-CN"/>
              </w:rPr>
              <w:t>。</w:t>
            </w:r>
          </w:p>
          <w:p>
            <w:pPr>
              <w:keepNext w:val="0"/>
              <w:keepLines w:val="0"/>
              <w:widowControl/>
              <w:suppressLineNumbers w:val="0"/>
              <w:jc w:val="center"/>
              <w:rPr>
                <w:color w:val="auto"/>
              </w:rPr>
            </w:pPr>
            <w:r>
              <w:rPr>
                <w:rFonts w:ascii="黑体" w:hAnsi="宋体" w:eastAsia="黑体" w:cs="黑体"/>
                <w:color w:val="auto"/>
                <w:kern w:val="0"/>
                <w:sz w:val="21"/>
                <w:szCs w:val="21"/>
                <w:lang w:val="en-US" w:eastAsia="zh-CN" w:bidi="ar"/>
              </w:rPr>
              <w:t>表</w:t>
            </w:r>
            <w:r>
              <w:rPr>
                <w:rFonts w:hint="default" w:ascii="Times New Roman" w:hAnsi="Times New Roman" w:eastAsia="宋体" w:cs="Times New Roman"/>
                <w:color w:val="auto"/>
                <w:kern w:val="0"/>
                <w:sz w:val="21"/>
                <w:szCs w:val="21"/>
                <w:lang w:val="en-US" w:eastAsia="zh-CN" w:bidi="ar"/>
              </w:rPr>
              <w:t xml:space="preserve">1-2 </w:t>
            </w:r>
            <w:r>
              <w:rPr>
                <w:rFonts w:hint="eastAsia" w:cs="Times New Roman"/>
                <w:color w:val="auto"/>
                <w:kern w:val="0"/>
                <w:sz w:val="21"/>
                <w:szCs w:val="21"/>
                <w:lang w:val="en-US" w:eastAsia="zh-CN" w:bidi="ar"/>
              </w:rPr>
              <w:t xml:space="preserve"> </w:t>
            </w:r>
            <w:r>
              <w:rPr>
                <w:rFonts w:hint="eastAsia" w:ascii="黑体" w:hAnsi="宋体" w:eastAsia="黑体" w:cs="黑体"/>
                <w:color w:val="auto"/>
                <w:kern w:val="0"/>
                <w:sz w:val="21"/>
                <w:szCs w:val="21"/>
                <w:lang w:val="en-US" w:eastAsia="zh-CN" w:bidi="ar"/>
              </w:rPr>
              <w:t>与产业政策符合性分析一览表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4393"/>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vAlign w:val="center"/>
                </w:tcPr>
                <w:p>
                  <w:pPr>
                    <w:autoSpaceDE w:val="0"/>
                    <w:autoSpaceDN w:val="0"/>
                    <w:adjustRightInd w:val="0"/>
                    <w:snapToGrid w:val="0"/>
                    <w:jc w:val="center"/>
                    <w:rPr>
                      <w:rFonts w:hint="eastAsia" w:eastAsia="宋体"/>
                      <w:color w:val="auto"/>
                      <w:kern w:val="0"/>
                      <w:szCs w:val="21"/>
                      <w:lang w:eastAsia="zh-CN"/>
                    </w:rPr>
                  </w:pPr>
                  <w:r>
                    <w:rPr>
                      <w:rFonts w:hint="eastAsia"/>
                      <w:color w:val="auto"/>
                      <w:kern w:val="0"/>
                      <w:szCs w:val="21"/>
                      <w:lang w:val="en-US" w:eastAsia="zh-CN"/>
                    </w:rPr>
                    <w:t>文件</w:t>
                  </w:r>
                </w:p>
              </w:tc>
              <w:tc>
                <w:tcPr>
                  <w:tcW w:w="4393" w:type="dxa"/>
                </w:tcPr>
                <w:p>
                  <w:pPr>
                    <w:autoSpaceDE w:val="0"/>
                    <w:autoSpaceDN w:val="0"/>
                    <w:adjustRightInd w:val="0"/>
                    <w:snapToGrid w:val="0"/>
                    <w:jc w:val="center"/>
                    <w:rPr>
                      <w:color w:val="auto"/>
                      <w:kern w:val="0"/>
                      <w:szCs w:val="21"/>
                    </w:rPr>
                  </w:pPr>
                  <w:r>
                    <w:rPr>
                      <w:color w:val="auto"/>
                      <w:kern w:val="0"/>
                      <w:szCs w:val="21"/>
                    </w:rPr>
                    <w:t>本项目</w:t>
                  </w:r>
                </w:p>
              </w:tc>
              <w:tc>
                <w:tcPr>
                  <w:tcW w:w="933" w:type="dxa"/>
                  <w:vAlign w:val="center"/>
                </w:tcPr>
                <w:p>
                  <w:pPr>
                    <w:autoSpaceDE w:val="0"/>
                    <w:autoSpaceDN w:val="0"/>
                    <w:adjustRightInd w:val="0"/>
                    <w:snapToGrid w:val="0"/>
                    <w:jc w:val="center"/>
                    <w:rPr>
                      <w:color w:val="auto"/>
                      <w:kern w:val="0"/>
                      <w:szCs w:val="21"/>
                    </w:rPr>
                  </w:pPr>
                  <w:r>
                    <w:rPr>
                      <w:color w:val="auto"/>
                      <w:kern w:val="0"/>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vAlign w:val="center"/>
                </w:tcPr>
                <w:p>
                  <w:pPr>
                    <w:autoSpaceDE w:val="0"/>
                    <w:autoSpaceDN w:val="0"/>
                    <w:adjustRightInd w:val="0"/>
                    <w:snapToGrid w:val="0"/>
                    <w:jc w:val="center"/>
                    <w:rPr>
                      <w:color w:val="auto"/>
                      <w:kern w:val="0"/>
                      <w:szCs w:val="21"/>
                    </w:rPr>
                  </w:pPr>
                  <w:r>
                    <w:rPr>
                      <w:color w:val="auto"/>
                      <w:kern w:val="0"/>
                      <w:szCs w:val="21"/>
                    </w:rPr>
                    <w:t>《产业结构调整指导目录》（2019年本）</w:t>
                  </w:r>
                </w:p>
              </w:tc>
              <w:tc>
                <w:tcPr>
                  <w:tcW w:w="4393" w:type="dxa"/>
                </w:tcPr>
                <w:p>
                  <w:pPr>
                    <w:autoSpaceDE w:val="0"/>
                    <w:autoSpaceDN w:val="0"/>
                    <w:adjustRightInd w:val="0"/>
                    <w:jc w:val="left"/>
                    <w:rPr>
                      <w:color w:val="auto"/>
                      <w:kern w:val="0"/>
                      <w:szCs w:val="21"/>
                    </w:rPr>
                  </w:pPr>
                  <w:r>
                    <w:rPr>
                      <w:color w:val="auto"/>
                      <w:kern w:val="0"/>
                      <w:szCs w:val="21"/>
                    </w:rPr>
                    <w:t>依据国家发展和改革委员会令第29号《产业结构调整指导目录》（2019年本），本项目属于</w:t>
                  </w:r>
                  <w:r>
                    <w:rPr>
                      <w:rFonts w:hint="eastAsia"/>
                      <w:color w:val="auto"/>
                      <w:kern w:val="0"/>
                      <w:szCs w:val="21"/>
                      <w:lang w:eastAsia="zh-CN"/>
                    </w:rPr>
                    <w:t>“</w:t>
                  </w:r>
                  <w:r>
                    <w:rPr>
                      <w:color w:val="auto"/>
                      <w:kern w:val="0"/>
                      <w:szCs w:val="21"/>
                    </w:rPr>
                    <w:t>鼓励类</w:t>
                  </w:r>
                  <w:r>
                    <w:rPr>
                      <w:rFonts w:hint="eastAsia"/>
                      <w:color w:val="auto"/>
                      <w:kern w:val="0"/>
                      <w:szCs w:val="21"/>
                      <w:lang w:eastAsia="zh-CN"/>
                    </w:rPr>
                    <w:t>”</w:t>
                  </w:r>
                  <w:r>
                    <w:rPr>
                      <w:color w:val="auto"/>
                      <w:kern w:val="0"/>
                      <w:szCs w:val="21"/>
                    </w:rPr>
                    <w:t>中</w:t>
                  </w:r>
                  <w:r>
                    <w:rPr>
                      <w:rFonts w:hint="eastAsia"/>
                      <w:color w:val="auto"/>
                      <w:kern w:val="0"/>
                      <w:szCs w:val="21"/>
                      <w:lang w:eastAsia="zh-CN"/>
                    </w:rPr>
                    <w:t>“</w:t>
                  </w:r>
                  <w:r>
                    <w:rPr>
                      <w:rFonts w:hint="eastAsia"/>
                      <w:color w:val="auto"/>
                      <w:kern w:val="0"/>
                      <w:szCs w:val="21"/>
                      <w:lang w:val="en-US" w:eastAsia="zh-CN"/>
                    </w:rPr>
                    <w:t>二、水利---</w:t>
                  </w:r>
                  <w:r>
                    <w:rPr>
                      <w:rFonts w:hint="default"/>
                      <w:color w:val="auto"/>
                      <w:kern w:val="0"/>
                      <w:szCs w:val="21"/>
                      <w:lang w:val="en-US" w:eastAsia="zh-CN"/>
                    </w:rPr>
                    <w:t>l</w:t>
                  </w:r>
                  <w:r>
                    <w:rPr>
                      <w:rFonts w:hint="eastAsia"/>
                      <w:color w:val="auto"/>
                      <w:kern w:val="0"/>
                      <w:szCs w:val="21"/>
                      <w:lang w:val="en-US" w:eastAsia="zh-CN"/>
                    </w:rPr>
                    <w:t>、江河湖海堤防建设及河道治理工程</w:t>
                  </w:r>
                  <w:r>
                    <w:rPr>
                      <w:rFonts w:hint="eastAsia"/>
                      <w:color w:val="auto"/>
                      <w:kern w:val="0"/>
                      <w:szCs w:val="21"/>
                      <w:lang w:eastAsia="zh-CN"/>
                    </w:rPr>
                    <w:t>”。</w:t>
                  </w:r>
                  <w:r>
                    <w:rPr>
                      <w:color w:val="auto"/>
                      <w:kern w:val="0"/>
                      <w:szCs w:val="21"/>
                    </w:rPr>
                    <w:t>202</w:t>
                  </w:r>
                  <w:r>
                    <w:rPr>
                      <w:rFonts w:hint="eastAsia"/>
                      <w:color w:val="auto"/>
                      <w:kern w:val="0"/>
                      <w:szCs w:val="21"/>
                      <w:lang w:val="en-US" w:eastAsia="zh-CN"/>
                    </w:rPr>
                    <w:t>2</w:t>
                  </w:r>
                  <w:r>
                    <w:rPr>
                      <w:color w:val="auto"/>
                      <w:kern w:val="0"/>
                      <w:szCs w:val="21"/>
                    </w:rPr>
                    <w:t>年5月，</w:t>
                  </w:r>
                  <w:r>
                    <w:rPr>
                      <w:rFonts w:hint="eastAsia"/>
                      <w:color w:val="auto"/>
                      <w:szCs w:val="21"/>
                      <w:lang w:eastAsia="zh-CN"/>
                    </w:rPr>
                    <w:t>岚皋县</w:t>
                  </w:r>
                  <w:r>
                    <w:rPr>
                      <w:rFonts w:hint="eastAsia"/>
                      <w:color w:val="auto"/>
                      <w:szCs w:val="21"/>
                      <w:lang w:val="en-US" w:eastAsia="zh-CN"/>
                    </w:rPr>
                    <w:t>发展和改革</w:t>
                  </w:r>
                  <w:r>
                    <w:rPr>
                      <w:color w:val="auto"/>
                      <w:szCs w:val="21"/>
                    </w:rPr>
                    <w:t>局</w:t>
                  </w:r>
                  <w:r>
                    <w:rPr>
                      <w:color w:val="auto"/>
                      <w:kern w:val="0"/>
                      <w:szCs w:val="21"/>
                    </w:rPr>
                    <w:t>同意该项目备案（项目代码：</w:t>
                  </w:r>
                  <w:r>
                    <w:rPr>
                      <w:rFonts w:hint="eastAsia"/>
                      <w:color w:val="auto"/>
                      <w:szCs w:val="21"/>
                      <w:lang w:val="en-US" w:eastAsia="zh-CN"/>
                    </w:rPr>
                    <w:t>2204</w:t>
                  </w:r>
                  <w:r>
                    <w:rPr>
                      <w:color w:val="auto"/>
                      <w:szCs w:val="21"/>
                    </w:rPr>
                    <w:t>-610</w:t>
                  </w:r>
                  <w:r>
                    <w:rPr>
                      <w:rFonts w:hint="eastAsia"/>
                      <w:color w:val="auto"/>
                      <w:szCs w:val="21"/>
                      <w:lang w:val="en-US" w:eastAsia="zh-CN"/>
                    </w:rPr>
                    <w:t>925</w:t>
                  </w:r>
                  <w:r>
                    <w:rPr>
                      <w:color w:val="auto"/>
                      <w:szCs w:val="21"/>
                    </w:rPr>
                    <w:t>-</w:t>
                  </w:r>
                  <w:r>
                    <w:rPr>
                      <w:rFonts w:hint="eastAsia"/>
                      <w:color w:val="auto"/>
                      <w:szCs w:val="21"/>
                      <w:lang w:val="en-US" w:eastAsia="zh-CN"/>
                    </w:rPr>
                    <w:t>04</w:t>
                  </w:r>
                  <w:r>
                    <w:rPr>
                      <w:color w:val="auto"/>
                      <w:szCs w:val="21"/>
                    </w:rPr>
                    <w:t>-01-</w:t>
                  </w:r>
                  <w:r>
                    <w:rPr>
                      <w:rFonts w:hint="eastAsia"/>
                      <w:color w:val="auto"/>
                      <w:szCs w:val="21"/>
                      <w:lang w:val="en-US" w:eastAsia="zh-CN"/>
                    </w:rPr>
                    <w:t>805608</w:t>
                  </w:r>
                  <w:r>
                    <w:rPr>
                      <w:color w:val="auto"/>
                      <w:kern w:val="0"/>
                      <w:szCs w:val="21"/>
                    </w:rPr>
                    <w:t>，详见附件2）</w:t>
                  </w:r>
                </w:p>
              </w:tc>
              <w:tc>
                <w:tcPr>
                  <w:tcW w:w="933" w:type="dxa"/>
                  <w:vAlign w:val="center"/>
                </w:tcPr>
                <w:p>
                  <w:pPr>
                    <w:autoSpaceDE w:val="0"/>
                    <w:autoSpaceDN w:val="0"/>
                    <w:adjustRightInd w:val="0"/>
                    <w:snapToGrid w:val="0"/>
                    <w:jc w:val="center"/>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23" w:type="dxa"/>
                  <w:vAlign w:val="center"/>
                </w:tcPr>
                <w:p>
                  <w:pPr>
                    <w:keepNext w:val="0"/>
                    <w:keepLines w:val="0"/>
                    <w:widowControl/>
                    <w:suppressLineNumbers w:val="0"/>
                    <w:jc w:val="left"/>
                    <w:rPr>
                      <w:color w:val="auto"/>
                      <w:kern w:val="0"/>
                      <w:szCs w:val="21"/>
                    </w:rPr>
                  </w:pPr>
                  <w:r>
                    <w:rPr>
                      <w:rFonts w:hint="eastAsia" w:ascii="宋体" w:hAnsi="宋体" w:eastAsia="宋体" w:cs="宋体"/>
                      <w:color w:val="auto"/>
                      <w:kern w:val="0"/>
                      <w:sz w:val="21"/>
                      <w:szCs w:val="21"/>
                      <w:lang w:val="en-US" w:eastAsia="zh-CN" w:bidi="ar"/>
                    </w:rPr>
                    <w:t>《陕西省限制投资类指导目录》（陕发改产业〔</w:t>
                  </w:r>
                  <w:r>
                    <w:rPr>
                      <w:rFonts w:hint="default" w:ascii="Times New Roman" w:hAnsi="Times New Roman" w:eastAsia="宋体" w:cs="Times New Roman"/>
                      <w:color w:val="auto"/>
                      <w:kern w:val="0"/>
                      <w:sz w:val="21"/>
                      <w:szCs w:val="21"/>
                      <w:lang w:val="en-US" w:eastAsia="zh-CN" w:bidi="ar"/>
                    </w:rPr>
                    <w:t>2007</w:t>
                  </w:r>
                  <w:r>
                    <w:rPr>
                      <w:rFonts w:hint="eastAsia" w:ascii="宋体" w:hAnsi="宋体" w:eastAsia="宋体" w:cs="宋体"/>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97</w:t>
                  </w:r>
                  <w:r>
                    <w:rPr>
                      <w:rFonts w:hint="eastAsia" w:ascii="宋体" w:hAnsi="宋体" w:eastAsia="宋体" w:cs="宋体"/>
                      <w:color w:val="auto"/>
                      <w:kern w:val="0"/>
                      <w:sz w:val="21"/>
                      <w:szCs w:val="21"/>
                      <w:lang w:val="en-US" w:eastAsia="zh-CN" w:bidi="ar"/>
                    </w:rPr>
                    <w:t>号）</w:t>
                  </w:r>
                </w:p>
              </w:tc>
              <w:tc>
                <w:tcPr>
                  <w:tcW w:w="4393" w:type="dxa"/>
                  <w:vAlign w:val="center"/>
                </w:tcPr>
                <w:p>
                  <w:pPr>
                    <w:keepNext w:val="0"/>
                    <w:keepLines w:val="0"/>
                    <w:widowControl/>
                    <w:suppressLineNumbers w:val="0"/>
                    <w:jc w:val="center"/>
                    <w:rPr>
                      <w:color w:val="auto"/>
                      <w:kern w:val="0"/>
                      <w:szCs w:val="21"/>
                    </w:rPr>
                  </w:pPr>
                  <w:r>
                    <w:rPr>
                      <w:rFonts w:hint="eastAsia" w:ascii="宋体" w:hAnsi="宋体" w:eastAsia="宋体" w:cs="宋体"/>
                      <w:color w:val="auto"/>
                      <w:kern w:val="0"/>
                      <w:sz w:val="21"/>
                      <w:szCs w:val="21"/>
                      <w:lang w:val="en-US" w:eastAsia="zh-CN" w:bidi="ar"/>
                    </w:rPr>
                    <w:t>对照《陕西省限制投资类指导目录》（陕发改产业</w:t>
                  </w:r>
                  <w:r>
                    <w:rPr>
                      <w:rFonts w:hint="default" w:ascii="Times New Roman" w:hAnsi="Times New Roman" w:eastAsia="宋体" w:cs="Times New Roman"/>
                      <w:color w:val="auto"/>
                      <w:kern w:val="0"/>
                      <w:sz w:val="21"/>
                      <w:szCs w:val="21"/>
                      <w:lang w:val="en-US" w:eastAsia="zh-CN" w:bidi="ar"/>
                    </w:rPr>
                    <w:t>[2007]97</w:t>
                  </w:r>
                  <w:r>
                    <w:rPr>
                      <w:rFonts w:hint="eastAsia" w:ascii="宋体" w:hAnsi="宋体" w:eastAsia="宋体" w:cs="宋体"/>
                      <w:color w:val="auto"/>
                      <w:kern w:val="0"/>
                      <w:sz w:val="21"/>
                      <w:szCs w:val="21"/>
                      <w:lang w:val="en-US" w:eastAsia="zh-CN" w:bidi="ar"/>
                    </w:rPr>
                    <w:t>号），本项目未被列入限制类目录内。</w:t>
                  </w:r>
                </w:p>
              </w:tc>
              <w:tc>
                <w:tcPr>
                  <w:tcW w:w="933" w:type="dxa"/>
                  <w:vAlign w:val="center"/>
                </w:tcPr>
                <w:p>
                  <w:pPr>
                    <w:autoSpaceDE w:val="0"/>
                    <w:autoSpaceDN w:val="0"/>
                    <w:adjustRightInd w:val="0"/>
                    <w:snapToGrid w:val="0"/>
                    <w:jc w:val="center"/>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vAlign w:val="center"/>
                </w:tcPr>
                <w:p>
                  <w:pPr>
                    <w:keepNext w:val="0"/>
                    <w:keepLines w:val="0"/>
                    <w:widowControl/>
                    <w:suppressLineNumbers w:val="0"/>
                    <w:jc w:val="left"/>
                    <w:rPr>
                      <w:color w:val="auto"/>
                      <w:kern w:val="0"/>
                      <w:szCs w:val="21"/>
                    </w:rPr>
                  </w:pPr>
                  <w:r>
                    <w:rPr>
                      <w:rFonts w:hint="eastAsia" w:ascii="宋体" w:hAnsi="宋体" w:eastAsia="宋体" w:cs="宋体"/>
                      <w:color w:val="auto"/>
                      <w:kern w:val="0"/>
                      <w:sz w:val="21"/>
                      <w:szCs w:val="21"/>
                      <w:lang w:val="en-US" w:eastAsia="zh-CN" w:bidi="ar"/>
                    </w:rPr>
                    <w:t>《市场准入负面清单（</w:t>
                  </w:r>
                  <w:r>
                    <w:rPr>
                      <w:rFonts w:hint="default" w:ascii="Times New Roman" w:hAnsi="Times New Roman" w:eastAsia="宋体" w:cs="Times New Roman"/>
                      <w:color w:val="auto"/>
                      <w:kern w:val="0"/>
                      <w:sz w:val="21"/>
                      <w:szCs w:val="21"/>
                      <w:lang w:val="en-US" w:eastAsia="zh-CN" w:bidi="ar"/>
                    </w:rPr>
                    <w:t>2020</w:t>
                  </w:r>
                  <w:r>
                    <w:rPr>
                      <w:rFonts w:hint="eastAsia" w:ascii="宋体" w:hAnsi="宋体" w:eastAsia="宋体" w:cs="宋体"/>
                      <w:color w:val="auto"/>
                      <w:kern w:val="0"/>
                      <w:sz w:val="21"/>
                      <w:szCs w:val="21"/>
                      <w:lang w:val="en-US" w:eastAsia="zh-CN" w:bidi="ar"/>
                    </w:rPr>
                    <w:t>年版）》</w:t>
                  </w:r>
                </w:p>
              </w:tc>
              <w:tc>
                <w:tcPr>
                  <w:tcW w:w="4393" w:type="dxa"/>
                  <w:vAlign w:val="center"/>
                </w:tcPr>
                <w:p>
                  <w:pPr>
                    <w:keepNext w:val="0"/>
                    <w:keepLines w:val="0"/>
                    <w:widowControl/>
                    <w:suppressLineNumbers w:val="0"/>
                    <w:jc w:val="center"/>
                    <w:rPr>
                      <w:color w:val="auto"/>
                      <w:kern w:val="0"/>
                      <w:szCs w:val="21"/>
                    </w:rPr>
                  </w:pPr>
                  <w:r>
                    <w:rPr>
                      <w:rFonts w:hint="eastAsia" w:ascii="宋体" w:hAnsi="宋体" w:eastAsia="宋体" w:cs="宋体"/>
                      <w:color w:val="auto"/>
                      <w:kern w:val="0"/>
                      <w:sz w:val="21"/>
                      <w:szCs w:val="21"/>
                      <w:lang w:val="en-US" w:eastAsia="zh-CN" w:bidi="ar"/>
                    </w:rPr>
                    <w:t>对照《市场准入负面清单（</w:t>
                  </w:r>
                  <w:r>
                    <w:rPr>
                      <w:rFonts w:hint="default" w:ascii="Times New Roman" w:hAnsi="Times New Roman" w:eastAsia="宋体" w:cs="Times New Roman"/>
                      <w:color w:val="auto"/>
                      <w:kern w:val="0"/>
                      <w:sz w:val="21"/>
                      <w:szCs w:val="21"/>
                      <w:lang w:val="en-US" w:eastAsia="zh-CN" w:bidi="ar"/>
                    </w:rPr>
                    <w:t>2020</w:t>
                  </w:r>
                  <w:r>
                    <w:rPr>
                      <w:rFonts w:hint="eastAsia" w:ascii="宋体" w:hAnsi="宋体" w:eastAsia="宋体" w:cs="宋体"/>
                      <w:color w:val="auto"/>
                      <w:kern w:val="0"/>
                      <w:sz w:val="21"/>
                      <w:szCs w:val="21"/>
                      <w:lang w:val="en-US" w:eastAsia="zh-CN" w:bidi="ar"/>
                    </w:rPr>
                    <w:t>年版）》，项目类别未被列入负面清单禁止准入类。</w:t>
                  </w:r>
                </w:p>
              </w:tc>
              <w:tc>
                <w:tcPr>
                  <w:tcW w:w="933" w:type="dxa"/>
                  <w:vAlign w:val="center"/>
                </w:tcPr>
                <w:p>
                  <w:pPr>
                    <w:autoSpaceDE w:val="0"/>
                    <w:autoSpaceDN w:val="0"/>
                    <w:adjustRightInd w:val="0"/>
                    <w:snapToGrid w:val="0"/>
                    <w:jc w:val="center"/>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vAlign w:val="center"/>
                </w:tcPr>
                <w:p>
                  <w:pPr>
                    <w:keepNext w:val="0"/>
                    <w:keepLines w:val="0"/>
                    <w:widowControl/>
                    <w:suppressLineNumbers w:val="0"/>
                    <w:jc w:val="left"/>
                    <w:rPr>
                      <w:color w:val="auto"/>
                      <w:kern w:val="0"/>
                      <w:szCs w:val="21"/>
                    </w:rPr>
                  </w:pPr>
                  <w:r>
                    <w:rPr>
                      <w:rFonts w:hint="eastAsia" w:ascii="宋体" w:hAnsi="宋体" w:eastAsia="宋体" w:cs="宋体"/>
                      <w:color w:val="auto"/>
                      <w:kern w:val="0"/>
                      <w:sz w:val="21"/>
                      <w:szCs w:val="21"/>
                      <w:lang w:val="en-US" w:eastAsia="zh-CN" w:bidi="ar"/>
                    </w:rPr>
                    <w:t>《陕西省国家 重点生态功能区产业准入负面清单</w:t>
                  </w:r>
                  <w:r>
                    <w:rPr>
                      <w:rFonts w:hint="default" w:ascii="Times New Roman" w:hAnsi="Times New Roman" w:eastAsia="宋体" w:cs="Times New Roman"/>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试行</w:t>
                  </w:r>
                  <w:r>
                    <w:rPr>
                      <w:rFonts w:hint="default" w:ascii="Times New Roman" w:hAnsi="Times New Roman" w:eastAsia="宋体" w:cs="Times New Roman"/>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》陕发改规划〔</w:t>
                  </w:r>
                  <w:r>
                    <w:rPr>
                      <w:rFonts w:hint="default" w:ascii="Times New Roman" w:hAnsi="Times New Roman" w:eastAsia="宋体" w:cs="Times New Roman"/>
                      <w:color w:val="auto"/>
                      <w:kern w:val="0"/>
                      <w:sz w:val="21"/>
                      <w:szCs w:val="21"/>
                      <w:lang w:val="en-US" w:eastAsia="zh-CN" w:bidi="ar"/>
                    </w:rPr>
                    <w:t>2018</w:t>
                  </w:r>
                  <w:r>
                    <w:rPr>
                      <w:rFonts w:hint="eastAsia" w:ascii="宋体" w:hAnsi="宋体" w:eastAsia="宋体" w:cs="宋体"/>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213</w:t>
                  </w:r>
                  <w:r>
                    <w:rPr>
                      <w:rFonts w:hint="eastAsia" w:ascii="宋体" w:hAnsi="宋体" w:eastAsia="宋体" w:cs="宋体"/>
                      <w:color w:val="auto"/>
                      <w:kern w:val="0"/>
                      <w:sz w:val="21"/>
                      <w:szCs w:val="21"/>
                      <w:lang w:val="en-US" w:eastAsia="zh-CN" w:bidi="ar"/>
                    </w:rPr>
                    <w:t>号</w:t>
                  </w:r>
                </w:p>
              </w:tc>
              <w:tc>
                <w:tcPr>
                  <w:tcW w:w="4393" w:type="dxa"/>
                  <w:vAlign w:val="center"/>
                </w:tcPr>
                <w:p>
                  <w:pPr>
                    <w:keepNext w:val="0"/>
                    <w:keepLines w:val="0"/>
                    <w:widowControl/>
                    <w:suppressLineNumbers w:val="0"/>
                    <w:jc w:val="center"/>
                    <w:rPr>
                      <w:color w:val="auto"/>
                      <w:kern w:val="0"/>
                      <w:szCs w:val="21"/>
                    </w:rPr>
                  </w:pPr>
                  <w:r>
                    <w:rPr>
                      <w:rFonts w:hint="eastAsia" w:ascii="宋体" w:hAnsi="宋体" w:eastAsia="宋体" w:cs="宋体"/>
                      <w:color w:val="auto"/>
                      <w:kern w:val="0"/>
                      <w:sz w:val="21"/>
                      <w:szCs w:val="21"/>
                      <w:lang w:val="en-US" w:eastAsia="zh-CN" w:bidi="ar"/>
                    </w:rPr>
                    <w:t>对照《陕西省国家重点生态功能区产业准入负面清单（试行）》，项目类别未被列入负面清单限制类和禁止类。</w:t>
                  </w:r>
                </w:p>
              </w:tc>
              <w:tc>
                <w:tcPr>
                  <w:tcW w:w="933" w:type="dxa"/>
                  <w:vAlign w:val="center"/>
                </w:tcPr>
                <w:p>
                  <w:pPr>
                    <w:autoSpaceDE w:val="0"/>
                    <w:autoSpaceDN w:val="0"/>
                    <w:adjustRightInd w:val="0"/>
                    <w:snapToGrid w:val="0"/>
                    <w:jc w:val="center"/>
                    <w:rPr>
                      <w:color w:val="auto"/>
                      <w:kern w:val="0"/>
                      <w:szCs w:val="21"/>
                    </w:rPr>
                  </w:pPr>
                  <w:r>
                    <w:rPr>
                      <w:color w:val="auto"/>
                      <w:kern w:val="0"/>
                      <w:szCs w:val="21"/>
                    </w:rPr>
                    <w:t>符合</w:t>
                  </w:r>
                </w:p>
              </w:tc>
            </w:tr>
          </w:tbl>
          <w:p>
            <w:pPr>
              <w:autoSpaceDE w:val="0"/>
              <w:autoSpaceDN w:val="0"/>
              <w:adjustRightInd w:val="0"/>
              <w:snapToGrid w:val="0"/>
              <w:spacing w:line="360" w:lineRule="auto"/>
              <w:ind w:firstLine="420" w:firstLineChars="200"/>
              <w:jc w:val="left"/>
              <w:rPr>
                <w:color w:val="auto"/>
                <w:kern w:val="0"/>
                <w:szCs w:val="21"/>
              </w:rPr>
            </w:pPr>
            <w:r>
              <w:rPr>
                <w:color w:val="auto"/>
                <w:kern w:val="0"/>
                <w:szCs w:val="21"/>
              </w:rPr>
              <w:t>2、“三线一单”符合性分析</w:t>
            </w:r>
          </w:p>
          <w:p>
            <w:pPr>
              <w:autoSpaceDE w:val="0"/>
              <w:autoSpaceDN w:val="0"/>
              <w:adjustRightInd w:val="0"/>
              <w:snapToGrid w:val="0"/>
              <w:spacing w:line="360" w:lineRule="auto"/>
              <w:ind w:firstLine="420" w:firstLineChars="200"/>
              <w:jc w:val="left"/>
              <w:rPr>
                <w:color w:val="auto"/>
                <w:kern w:val="0"/>
                <w:szCs w:val="21"/>
              </w:rPr>
            </w:pPr>
            <w:r>
              <w:rPr>
                <w:rFonts w:hint="eastAsia"/>
                <w:color w:val="auto"/>
                <w:kern w:val="0"/>
                <w:szCs w:val="21"/>
                <w:lang w:val="en-US" w:eastAsia="zh-CN"/>
              </w:rPr>
              <w:t>根据《安康市人民政府关于印发安康市“三线一单”生态环境分区管控方案的通知》（市政发〔</w:t>
            </w:r>
            <w:r>
              <w:rPr>
                <w:rFonts w:hint="default"/>
                <w:color w:val="auto"/>
                <w:kern w:val="0"/>
                <w:szCs w:val="21"/>
                <w:lang w:val="en-US" w:eastAsia="zh-CN"/>
              </w:rPr>
              <w:t>2021</w:t>
            </w:r>
            <w:r>
              <w:rPr>
                <w:rFonts w:hint="eastAsia"/>
                <w:color w:val="auto"/>
                <w:kern w:val="0"/>
                <w:szCs w:val="21"/>
                <w:lang w:val="en-US" w:eastAsia="zh-CN"/>
              </w:rPr>
              <w:t>〕18号），项目位于优先管控单元，安康市生态环境管控单元分布示意图，见附图6。</w:t>
            </w:r>
          </w:p>
          <w:p>
            <w:pPr>
              <w:autoSpaceDE w:val="0"/>
              <w:autoSpaceDN w:val="0"/>
              <w:adjustRightInd w:val="0"/>
              <w:snapToGrid w:val="0"/>
              <w:spacing w:line="360" w:lineRule="auto"/>
              <w:ind w:firstLine="420" w:firstLineChars="200"/>
              <w:jc w:val="left"/>
              <w:rPr>
                <w:color w:val="auto"/>
              </w:rPr>
            </w:pPr>
            <w:r>
              <w:rPr>
                <w:color w:val="auto"/>
                <w:kern w:val="0"/>
                <w:szCs w:val="21"/>
              </w:rPr>
              <w:t>项目“三线一单”符合性分析见表1</w:t>
            </w:r>
            <w:r>
              <w:rPr>
                <w:rFonts w:hint="eastAsia"/>
                <w:color w:val="auto"/>
                <w:kern w:val="0"/>
                <w:szCs w:val="21"/>
                <w:lang w:val="en-US" w:eastAsia="zh-CN"/>
              </w:rPr>
              <w:t>-3</w:t>
            </w:r>
            <w:r>
              <w:rPr>
                <w:color w:val="auto"/>
                <w:kern w:val="0"/>
                <w:szCs w:val="21"/>
              </w:rPr>
              <w:t>。</w:t>
            </w:r>
          </w:p>
          <w:p>
            <w:pPr>
              <w:autoSpaceDE w:val="0"/>
              <w:autoSpaceDN w:val="0"/>
              <w:adjustRightInd w:val="0"/>
              <w:snapToGrid w:val="0"/>
              <w:jc w:val="center"/>
              <w:rPr>
                <w:rFonts w:eastAsia="黑体"/>
                <w:color w:val="auto"/>
                <w:kern w:val="0"/>
                <w:szCs w:val="21"/>
              </w:rPr>
            </w:pPr>
            <w:r>
              <w:rPr>
                <w:rFonts w:eastAsia="黑体"/>
                <w:color w:val="auto"/>
                <w:kern w:val="0"/>
                <w:szCs w:val="21"/>
              </w:rPr>
              <w:t>表1</w:t>
            </w:r>
            <w:r>
              <w:rPr>
                <w:rFonts w:hint="eastAsia" w:eastAsia="黑体"/>
                <w:color w:val="auto"/>
                <w:kern w:val="0"/>
                <w:szCs w:val="21"/>
                <w:lang w:val="en-US" w:eastAsia="zh-CN"/>
              </w:rPr>
              <w:t>-3</w:t>
            </w:r>
            <w:r>
              <w:rPr>
                <w:rFonts w:eastAsia="黑体"/>
                <w:color w:val="auto"/>
                <w:kern w:val="0"/>
                <w:szCs w:val="21"/>
              </w:rPr>
              <w:t xml:space="preserve">  项目与“三线一单”符合性分析</w:t>
            </w:r>
          </w:p>
          <w:tbl>
            <w:tblPr>
              <w:tblStyle w:val="19"/>
              <w:tblW w:w="7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830"/>
              <w:gridCol w:w="2700"/>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Align w:val="center"/>
                </w:tcPr>
                <w:p>
                  <w:pPr>
                    <w:autoSpaceDE w:val="0"/>
                    <w:autoSpaceDN w:val="0"/>
                    <w:adjustRightInd w:val="0"/>
                    <w:snapToGrid w:val="0"/>
                    <w:jc w:val="center"/>
                    <w:rPr>
                      <w:rFonts w:ascii="Times New Roman" w:hAnsi="Times New Roman" w:eastAsia="宋体" w:cs="Times New Roman"/>
                      <w:color w:val="auto"/>
                      <w:kern w:val="0"/>
                      <w:sz w:val="21"/>
                      <w:szCs w:val="21"/>
                      <w:lang w:val="en-US" w:eastAsia="zh-CN" w:bidi="ar-SA"/>
                    </w:rPr>
                  </w:pPr>
                  <w:r>
                    <w:rPr>
                      <w:color w:val="auto"/>
                      <w:kern w:val="0"/>
                      <w:sz w:val="21"/>
                      <w:szCs w:val="21"/>
                    </w:rPr>
                    <w:t>“三线一单”</w:t>
                  </w:r>
                </w:p>
              </w:tc>
              <w:tc>
                <w:tcPr>
                  <w:tcW w:w="4530" w:type="dxa"/>
                  <w:gridSpan w:val="2"/>
                  <w:vAlign w:val="top"/>
                </w:tcPr>
                <w:p>
                  <w:pPr>
                    <w:autoSpaceDE w:val="0"/>
                    <w:autoSpaceDN w:val="0"/>
                    <w:adjustRightInd w:val="0"/>
                    <w:snapToGrid w:val="0"/>
                    <w:jc w:val="center"/>
                    <w:rPr>
                      <w:rFonts w:ascii="Times New Roman" w:hAnsi="Times New Roman" w:eastAsia="宋体" w:cs="Times New Roman"/>
                      <w:color w:val="auto"/>
                      <w:kern w:val="0"/>
                      <w:sz w:val="21"/>
                      <w:szCs w:val="21"/>
                      <w:lang w:val="en-US" w:eastAsia="zh-CN" w:bidi="ar-SA"/>
                    </w:rPr>
                  </w:pPr>
                  <w:r>
                    <w:rPr>
                      <w:color w:val="auto"/>
                      <w:kern w:val="0"/>
                      <w:sz w:val="21"/>
                      <w:szCs w:val="21"/>
                    </w:rPr>
                    <w:t>本项目</w:t>
                  </w:r>
                </w:p>
              </w:tc>
              <w:tc>
                <w:tcPr>
                  <w:tcW w:w="927" w:type="dxa"/>
                  <w:vAlign w:val="center"/>
                </w:tcPr>
                <w:p>
                  <w:pPr>
                    <w:autoSpaceDE w:val="0"/>
                    <w:autoSpaceDN w:val="0"/>
                    <w:adjustRightInd w:val="0"/>
                    <w:snapToGrid w:val="0"/>
                    <w:jc w:val="center"/>
                    <w:rPr>
                      <w:rFonts w:ascii="Times New Roman" w:hAnsi="Times New Roman" w:eastAsia="宋体" w:cs="Times New Roman"/>
                      <w:color w:val="auto"/>
                      <w:kern w:val="0"/>
                      <w:sz w:val="21"/>
                      <w:szCs w:val="21"/>
                      <w:lang w:val="en-US" w:eastAsia="zh-CN" w:bidi="ar-SA"/>
                    </w:rPr>
                  </w:pPr>
                  <w:r>
                    <w:rPr>
                      <w:color w:val="auto"/>
                      <w:kern w:val="0"/>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Align w:val="center"/>
                </w:tcPr>
                <w:p>
                  <w:pPr>
                    <w:autoSpaceDE w:val="0"/>
                    <w:autoSpaceDN w:val="0"/>
                    <w:adjustRightInd w:val="0"/>
                    <w:snapToGrid w:val="0"/>
                    <w:jc w:val="center"/>
                    <w:rPr>
                      <w:rFonts w:ascii="Times New Roman" w:hAnsi="Times New Roman" w:eastAsia="宋体" w:cs="Times New Roman"/>
                      <w:color w:val="auto"/>
                      <w:kern w:val="0"/>
                      <w:sz w:val="21"/>
                      <w:szCs w:val="21"/>
                      <w:lang w:val="en-US" w:eastAsia="zh-CN" w:bidi="ar-SA"/>
                    </w:rPr>
                  </w:pPr>
                  <w:r>
                    <w:rPr>
                      <w:color w:val="auto"/>
                      <w:kern w:val="0"/>
                      <w:sz w:val="21"/>
                      <w:szCs w:val="21"/>
                    </w:rPr>
                    <w:t>生态保护红线</w:t>
                  </w:r>
                </w:p>
              </w:tc>
              <w:tc>
                <w:tcPr>
                  <w:tcW w:w="4530" w:type="dxa"/>
                  <w:gridSpan w:val="2"/>
                  <w:vAlign w:val="top"/>
                </w:tcPr>
                <w:p>
                  <w:pPr>
                    <w:keepNext w:val="0"/>
                    <w:keepLines w:val="0"/>
                    <w:widowControl/>
                    <w:suppressLineNumbers w:val="0"/>
                    <w:jc w:val="left"/>
                    <w:rPr>
                      <w:rFonts w:ascii="Times New Roman" w:hAnsi="Times New Roman" w:eastAsia="宋体" w:cs="Times New Roman"/>
                      <w:color w:val="auto"/>
                      <w:kern w:val="0"/>
                      <w:sz w:val="21"/>
                      <w:szCs w:val="21"/>
                      <w:lang w:val="en-US" w:eastAsia="zh-CN" w:bidi="ar-SA"/>
                    </w:rPr>
                  </w:pPr>
                  <w:r>
                    <w:rPr>
                      <w:rFonts w:hint="eastAsia" w:ascii="宋体" w:hAnsi="宋体" w:eastAsia="宋体" w:cs="宋体"/>
                      <w:color w:val="auto"/>
                      <w:kern w:val="0"/>
                      <w:sz w:val="21"/>
                      <w:szCs w:val="21"/>
                      <w:lang w:val="en-US" w:eastAsia="zh-CN" w:bidi="ar"/>
                    </w:rPr>
                    <w:t>项目评价范围内不涉及水源涵养生态保护红线区、生物多样性维护生态保护红线区、水土保持生态保护红线区，无自然保护区、风景名胜区、森林公园等敏感区分布，不触及生态保护红线。</w:t>
                  </w:r>
                </w:p>
              </w:tc>
              <w:tc>
                <w:tcPr>
                  <w:tcW w:w="927" w:type="dxa"/>
                  <w:vAlign w:val="center"/>
                </w:tcPr>
                <w:p>
                  <w:pPr>
                    <w:autoSpaceDE w:val="0"/>
                    <w:autoSpaceDN w:val="0"/>
                    <w:adjustRightInd w:val="0"/>
                    <w:snapToGrid w:val="0"/>
                    <w:jc w:val="center"/>
                    <w:rPr>
                      <w:rFonts w:ascii="Times New Roman" w:hAnsi="Times New Roman" w:eastAsia="宋体" w:cs="Times New Roman"/>
                      <w:color w:val="auto"/>
                      <w:kern w:val="0"/>
                      <w:sz w:val="21"/>
                      <w:szCs w:val="21"/>
                      <w:lang w:val="en-US" w:eastAsia="zh-CN" w:bidi="ar-SA"/>
                    </w:rPr>
                  </w:pPr>
                  <w:r>
                    <w:rPr>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Align w:val="center"/>
                </w:tcPr>
                <w:p>
                  <w:pPr>
                    <w:autoSpaceDE w:val="0"/>
                    <w:autoSpaceDN w:val="0"/>
                    <w:adjustRightInd w:val="0"/>
                    <w:snapToGrid w:val="0"/>
                    <w:jc w:val="center"/>
                    <w:rPr>
                      <w:rFonts w:ascii="Times New Roman" w:hAnsi="Times New Roman" w:eastAsia="宋体" w:cs="Times New Roman"/>
                      <w:color w:val="auto"/>
                      <w:kern w:val="0"/>
                      <w:sz w:val="21"/>
                      <w:szCs w:val="21"/>
                      <w:lang w:val="en-US" w:eastAsia="zh-CN" w:bidi="ar-SA"/>
                    </w:rPr>
                  </w:pPr>
                  <w:r>
                    <w:rPr>
                      <w:color w:val="auto"/>
                      <w:kern w:val="0"/>
                      <w:sz w:val="21"/>
                      <w:szCs w:val="21"/>
                    </w:rPr>
                    <w:t>环境质量底线</w:t>
                  </w:r>
                </w:p>
              </w:tc>
              <w:tc>
                <w:tcPr>
                  <w:tcW w:w="4530" w:type="dxa"/>
                  <w:gridSpan w:val="2"/>
                  <w:vAlign w:val="top"/>
                </w:tcPr>
                <w:p>
                  <w:pPr>
                    <w:autoSpaceDE w:val="0"/>
                    <w:autoSpaceDN w:val="0"/>
                    <w:adjustRightInd w:val="0"/>
                    <w:ind w:firstLine="420" w:firstLineChars="200"/>
                    <w:jc w:val="left"/>
                    <w:rPr>
                      <w:color w:val="auto"/>
                      <w:kern w:val="0"/>
                      <w:sz w:val="21"/>
                      <w:szCs w:val="21"/>
                    </w:rPr>
                  </w:pPr>
                  <w:r>
                    <w:rPr>
                      <w:color w:val="auto"/>
                      <w:kern w:val="0"/>
                      <w:sz w:val="21"/>
                      <w:szCs w:val="21"/>
                    </w:rPr>
                    <w:t>项目区域为环境空气质量达标区，</w:t>
                  </w:r>
                  <w:r>
                    <w:rPr>
                      <w:rFonts w:hint="eastAsia"/>
                      <w:color w:val="auto"/>
                      <w:kern w:val="0"/>
                      <w:sz w:val="21"/>
                      <w:szCs w:val="21"/>
                      <w:lang w:val="en-US" w:eastAsia="zh-CN"/>
                    </w:rPr>
                    <w:t>地表</w:t>
                  </w:r>
                  <w:r>
                    <w:rPr>
                      <w:color w:val="auto"/>
                      <w:kern w:val="0"/>
                      <w:sz w:val="21"/>
                      <w:szCs w:val="21"/>
                    </w:rPr>
                    <w:t>水水质满足相应的质量标准。</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ascii="Times New Roman" w:hAnsi="Times New Roman" w:eastAsia="宋体" w:cs="Times New Roman"/>
                      <w:color w:val="auto"/>
                      <w:kern w:val="0"/>
                      <w:sz w:val="21"/>
                      <w:szCs w:val="21"/>
                      <w:lang w:val="en-US" w:eastAsia="zh-CN" w:bidi="ar-SA"/>
                    </w:rPr>
                  </w:pPr>
                  <w:r>
                    <w:rPr>
                      <w:color w:val="auto"/>
                      <w:kern w:val="0"/>
                      <w:sz w:val="21"/>
                      <w:szCs w:val="21"/>
                    </w:rPr>
                    <w:t>本项目为</w:t>
                  </w:r>
                  <w:r>
                    <w:rPr>
                      <w:rFonts w:hint="eastAsia"/>
                      <w:color w:val="auto"/>
                      <w:kern w:val="0"/>
                      <w:sz w:val="21"/>
                      <w:szCs w:val="21"/>
                      <w:lang w:val="en-US" w:eastAsia="zh-CN"/>
                    </w:rPr>
                    <w:t>防洪工程</w:t>
                  </w:r>
                  <w:r>
                    <w:rPr>
                      <w:color w:val="auto"/>
                      <w:kern w:val="0"/>
                      <w:sz w:val="21"/>
                      <w:szCs w:val="21"/>
                    </w:rPr>
                    <w:t>项目，</w:t>
                  </w:r>
                  <w:r>
                    <w:rPr>
                      <w:rFonts w:hint="eastAsia" w:ascii="宋体" w:hAnsi="宋体" w:eastAsia="宋体" w:cs="宋体"/>
                      <w:color w:val="auto"/>
                      <w:kern w:val="0"/>
                      <w:sz w:val="21"/>
                      <w:szCs w:val="21"/>
                      <w:lang w:val="en-US" w:eastAsia="zh-CN" w:bidi="ar"/>
                    </w:rPr>
                    <w:t>主要以施工期生态影响为主要特征，建成运营后具有较好的生态环境正效益，不会对区域的环境质量产生影响，环境质量可以保持现有水平，不触及环境质量底线。</w:t>
                  </w:r>
                </w:p>
              </w:tc>
              <w:tc>
                <w:tcPr>
                  <w:tcW w:w="927" w:type="dxa"/>
                  <w:vAlign w:val="center"/>
                </w:tcPr>
                <w:p>
                  <w:pPr>
                    <w:autoSpaceDE w:val="0"/>
                    <w:autoSpaceDN w:val="0"/>
                    <w:adjustRightInd w:val="0"/>
                    <w:snapToGrid w:val="0"/>
                    <w:jc w:val="center"/>
                    <w:rPr>
                      <w:rFonts w:ascii="Times New Roman" w:hAnsi="Times New Roman" w:eastAsia="宋体" w:cs="Times New Roman"/>
                      <w:color w:val="auto"/>
                      <w:kern w:val="0"/>
                      <w:sz w:val="21"/>
                      <w:szCs w:val="21"/>
                      <w:lang w:val="en-US" w:eastAsia="zh-CN" w:bidi="ar-SA"/>
                    </w:rPr>
                  </w:pPr>
                  <w:r>
                    <w:rPr>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Align w:val="center"/>
                </w:tcPr>
                <w:p>
                  <w:pPr>
                    <w:autoSpaceDE w:val="0"/>
                    <w:autoSpaceDN w:val="0"/>
                    <w:adjustRightInd w:val="0"/>
                    <w:snapToGrid w:val="0"/>
                    <w:jc w:val="center"/>
                    <w:rPr>
                      <w:rFonts w:ascii="Times New Roman" w:hAnsi="Times New Roman" w:eastAsia="宋体" w:cs="Times New Roman"/>
                      <w:color w:val="auto"/>
                      <w:kern w:val="0"/>
                      <w:sz w:val="21"/>
                      <w:szCs w:val="21"/>
                      <w:lang w:val="en-US" w:eastAsia="zh-CN" w:bidi="ar-SA"/>
                    </w:rPr>
                  </w:pPr>
                  <w:r>
                    <w:rPr>
                      <w:color w:val="auto"/>
                      <w:kern w:val="0"/>
                      <w:sz w:val="21"/>
                      <w:szCs w:val="21"/>
                    </w:rPr>
                    <w:t>资源利用上线</w:t>
                  </w:r>
                </w:p>
              </w:tc>
              <w:tc>
                <w:tcPr>
                  <w:tcW w:w="4530" w:type="dxa"/>
                  <w:gridSpan w:val="2"/>
                  <w:vAlign w:val="top"/>
                </w:tcPr>
                <w:p>
                  <w:pPr>
                    <w:autoSpaceDE w:val="0"/>
                    <w:autoSpaceDN w:val="0"/>
                    <w:adjustRightInd w:val="0"/>
                    <w:jc w:val="left"/>
                    <w:rPr>
                      <w:rFonts w:ascii="Times New Roman" w:hAnsi="Times New Roman" w:eastAsia="宋体" w:cs="Times New Roman"/>
                      <w:color w:val="auto"/>
                      <w:kern w:val="0"/>
                      <w:sz w:val="21"/>
                      <w:szCs w:val="21"/>
                      <w:lang w:val="en-US" w:eastAsia="zh-CN" w:bidi="ar-SA"/>
                    </w:rPr>
                  </w:pPr>
                  <w:r>
                    <w:rPr>
                      <w:color w:val="auto"/>
                      <w:kern w:val="0"/>
                      <w:sz w:val="21"/>
                      <w:szCs w:val="21"/>
                    </w:rPr>
                    <w:t>项目为</w:t>
                  </w:r>
                  <w:r>
                    <w:rPr>
                      <w:rFonts w:hint="eastAsia"/>
                      <w:color w:val="auto"/>
                      <w:kern w:val="0"/>
                      <w:sz w:val="21"/>
                      <w:szCs w:val="21"/>
                      <w:lang w:val="en-US" w:eastAsia="zh-CN"/>
                    </w:rPr>
                    <w:t>防洪工程</w:t>
                  </w:r>
                  <w:r>
                    <w:rPr>
                      <w:color w:val="auto"/>
                      <w:kern w:val="0"/>
                      <w:sz w:val="21"/>
                      <w:szCs w:val="21"/>
                    </w:rPr>
                    <w:t>项目，</w:t>
                  </w:r>
                  <w:r>
                    <w:rPr>
                      <w:rFonts w:hint="eastAsia"/>
                      <w:color w:val="auto"/>
                      <w:kern w:val="0"/>
                      <w:sz w:val="21"/>
                      <w:szCs w:val="21"/>
                      <w:lang w:val="en-US" w:eastAsia="zh-CN"/>
                    </w:rPr>
                    <w:t>运营期</w:t>
                  </w:r>
                  <w:r>
                    <w:rPr>
                      <w:color w:val="auto"/>
                      <w:kern w:val="0"/>
                      <w:sz w:val="21"/>
                      <w:szCs w:val="21"/>
                    </w:rPr>
                    <w:t>不消耗能源、资源，不触及资源能源利用上线</w:t>
                  </w:r>
                </w:p>
              </w:tc>
              <w:tc>
                <w:tcPr>
                  <w:tcW w:w="927" w:type="dxa"/>
                  <w:vAlign w:val="center"/>
                </w:tcPr>
                <w:p>
                  <w:pPr>
                    <w:autoSpaceDE w:val="0"/>
                    <w:autoSpaceDN w:val="0"/>
                    <w:adjustRightInd w:val="0"/>
                    <w:snapToGrid w:val="0"/>
                    <w:jc w:val="center"/>
                    <w:rPr>
                      <w:rFonts w:ascii="Times New Roman" w:hAnsi="Times New Roman" w:eastAsia="宋体" w:cs="Times New Roman"/>
                      <w:color w:val="auto"/>
                      <w:kern w:val="0"/>
                      <w:sz w:val="21"/>
                      <w:szCs w:val="21"/>
                      <w:lang w:val="en-US" w:eastAsia="zh-CN" w:bidi="ar-SA"/>
                    </w:rPr>
                  </w:pPr>
                  <w:r>
                    <w:rPr>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Align w:val="center"/>
                </w:tcPr>
                <w:p>
                  <w:pPr>
                    <w:autoSpaceDE w:val="0"/>
                    <w:autoSpaceDN w:val="0"/>
                    <w:adjustRightInd w:val="0"/>
                    <w:jc w:val="center"/>
                    <w:rPr>
                      <w:rFonts w:ascii="Times New Roman" w:hAnsi="Times New Roman" w:eastAsia="宋体" w:cs="Times New Roman"/>
                      <w:color w:val="auto"/>
                      <w:kern w:val="0"/>
                      <w:sz w:val="21"/>
                      <w:szCs w:val="21"/>
                      <w:lang w:val="en-US" w:eastAsia="zh-CN" w:bidi="ar-SA"/>
                    </w:rPr>
                  </w:pPr>
                  <w:r>
                    <w:rPr>
                      <w:color w:val="auto"/>
                      <w:kern w:val="0"/>
                      <w:sz w:val="21"/>
                      <w:szCs w:val="21"/>
                    </w:rPr>
                    <w:t>环境准入负面清单</w:t>
                  </w:r>
                </w:p>
              </w:tc>
              <w:tc>
                <w:tcPr>
                  <w:tcW w:w="4530" w:type="dxa"/>
                  <w:gridSpan w:val="2"/>
                  <w:vAlign w:val="top"/>
                </w:tcPr>
                <w:p>
                  <w:pPr>
                    <w:keepNext w:val="0"/>
                    <w:keepLines w:val="0"/>
                    <w:widowControl/>
                    <w:suppressLineNumbers w:val="0"/>
                    <w:jc w:val="left"/>
                    <w:rPr>
                      <w:rFonts w:ascii="Times New Roman" w:hAnsi="Times New Roman" w:eastAsia="宋体" w:cs="Times New Roman"/>
                      <w:color w:val="auto"/>
                      <w:kern w:val="0"/>
                      <w:sz w:val="21"/>
                      <w:szCs w:val="21"/>
                      <w:lang w:val="en-US" w:eastAsia="zh-CN" w:bidi="ar-SA"/>
                    </w:rPr>
                  </w:pPr>
                  <w:r>
                    <w:rPr>
                      <w:rFonts w:hint="eastAsia" w:ascii="宋体" w:hAnsi="宋体" w:eastAsia="宋体" w:cs="宋体"/>
                      <w:color w:val="auto"/>
                      <w:kern w:val="0"/>
                      <w:sz w:val="21"/>
                      <w:szCs w:val="21"/>
                      <w:lang w:val="en-US" w:eastAsia="zh-CN" w:bidi="ar"/>
                    </w:rPr>
                    <w:t>对照《市场准入负面清单》（</w:t>
                  </w:r>
                  <w:r>
                    <w:rPr>
                      <w:rFonts w:hint="default" w:ascii="Times New Roman" w:hAnsi="Times New Roman" w:eastAsia="宋体" w:cs="Times New Roman"/>
                      <w:color w:val="auto"/>
                      <w:kern w:val="0"/>
                      <w:sz w:val="21"/>
                      <w:szCs w:val="21"/>
                      <w:lang w:val="en-US" w:eastAsia="zh-CN" w:bidi="ar"/>
                    </w:rPr>
                    <w:t>2022</w:t>
                  </w:r>
                  <w:r>
                    <w:rPr>
                      <w:rFonts w:hint="eastAsia" w:ascii="宋体" w:hAnsi="宋体" w:eastAsia="宋体" w:cs="宋体"/>
                      <w:color w:val="auto"/>
                      <w:kern w:val="0"/>
                      <w:sz w:val="21"/>
                      <w:szCs w:val="21"/>
                      <w:lang w:val="en-US" w:eastAsia="zh-CN" w:bidi="ar"/>
                    </w:rPr>
                    <w:t>年版），本项目不在清单中禁止准入类或许可准入类之列，可依法平等进入；对照关于印发《陕西省国家重点生态功能区产业准入负面清单（试行）》的通知（陕发改规划</w:t>
                  </w:r>
                  <w:r>
                    <w:rPr>
                      <w:rFonts w:hint="default" w:ascii="Times New Roman" w:hAnsi="Times New Roman" w:eastAsia="宋体" w:cs="Times New Roman"/>
                      <w:color w:val="auto"/>
                      <w:kern w:val="0"/>
                      <w:sz w:val="21"/>
                      <w:szCs w:val="21"/>
                      <w:lang w:val="en-US" w:eastAsia="zh-CN" w:bidi="ar"/>
                    </w:rPr>
                    <w:t>[2018]213</w:t>
                  </w:r>
                  <w:r>
                    <w:rPr>
                      <w:rFonts w:hint="eastAsia" w:ascii="宋体" w:hAnsi="宋体" w:eastAsia="宋体" w:cs="宋体"/>
                      <w:color w:val="auto"/>
                      <w:kern w:val="0"/>
                      <w:sz w:val="21"/>
                      <w:szCs w:val="21"/>
                      <w:lang w:val="en-US" w:eastAsia="zh-CN" w:bidi="ar"/>
                    </w:rPr>
                    <w:t>号），本项目所在区域不在负面清单涉及区域之内。因此，本项目未列入环境准入负面清单。</w:t>
                  </w:r>
                </w:p>
              </w:tc>
              <w:tc>
                <w:tcPr>
                  <w:tcW w:w="927" w:type="dxa"/>
                  <w:vAlign w:val="center"/>
                </w:tcPr>
                <w:p>
                  <w:pPr>
                    <w:autoSpaceDE w:val="0"/>
                    <w:autoSpaceDN w:val="0"/>
                    <w:adjustRightInd w:val="0"/>
                    <w:snapToGrid w:val="0"/>
                    <w:jc w:val="center"/>
                    <w:rPr>
                      <w:rFonts w:ascii="Times New Roman" w:hAnsi="Times New Roman" w:eastAsia="宋体" w:cs="Times New Roman"/>
                      <w:color w:val="auto"/>
                      <w:kern w:val="0"/>
                      <w:sz w:val="21"/>
                      <w:szCs w:val="21"/>
                      <w:lang w:val="en-US" w:eastAsia="zh-CN" w:bidi="ar-SA"/>
                    </w:rPr>
                  </w:pPr>
                  <w:r>
                    <w:rPr>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4" w:type="dxa"/>
                  <w:gridSpan w:val="4"/>
                  <w:vAlign w:val="top"/>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ascii="Times New Roman" w:hAnsi="Times New Roman" w:eastAsia="黑体" w:cs="Times New Roman"/>
                      <w:color w:val="auto"/>
                      <w:kern w:val="0"/>
                      <w:sz w:val="21"/>
                      <w:szCs w:val="21"/>
                      <w:vertAlign w:val="baseline"/>
                      <w:lang w:val="en-US" w:eastAsia="zh-CN" w:bidi="ar-SA"/>
                    </w:rPr>
                  </w:pPr>
                  <w:r>
                    <w:rPr>
                      <w:rFonts w:hint="eastAsia"/>
                      <w:color w:val="auto"/>
                      <w:kern w:val="0"/>
                      <w:sz w:val="21"/>
                      <w:szCs w:val="21"/>
                      <w:lang w:val="en-US" w:eastAsia="zh-CN"/>
                    </w:rPr>
                    <w:t>安康市“三线一单”生态环境分区管控方案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gridSpan w:val="2"/>
                  <w:vAlign w:val="top"/>
                </w:tcPr>
                <w:p>
                  <w:pPr>
                    <w:keepNext w:val="0"/>
                    <w:keepLines w:val="0"/>
                    <w:widowControl/>
                    <w:suppressLineNumbers w:val="0"/>
                    <w:jc w:val="center"/>
                    <w:rPr>
                      <w:rFonts w:ascii="Times New Roman" w:hAnsi="Times New Roman" w:eastAsia="黑体" w:cs="Times New Roman"/>
                      <w:color w:val="auto"/>
                      <w:kern w:val="0"/>
                      <w:sz w:val="21"/>
                      <w:szCs w:val="21"/>
                      <w:vertAlign w:val="baseline"/>
                      <w:lang w:val="en-US" w:eastAsia="zh-CN" w:bidi="ar-SA"/>
                    </w:rPr>
                  </w:pPr>
                  <w:r>
                    <w:rPr>
                      <w:rFonts w:hint="eastAsia" w:ascii="宋体" w:hAnsi="宋体" w:eastAsia="宋体" w:cs="宋体"/>
                      <w:color w:val="auto"/>
                      <w:kern w:val="0"/>
                      <w:sz w:val="21"/>
                      <w:szCs w:val="21"/>
                      <w:lang w:val="en-US" w:eastAsia="zh-CN" w:bidi="ar"/>
                    </w:rPr>
                    <w:t>环境准入与管控要求</w:t>
                  </w:r>
                </w:p>
              </w:tc>
              <w:tc>
                <w:tcPr>
                  <w:tcW w:w="2700" w:type="dxa"/>
                  <w:vAlign w:val="top"/>
                </w:tcPr>
                <w:p>
                  <w:pPr>
                    <w:keepNext w:val="0"/>
                    <w:keepLines w:val="0"/>
                    <w:widowControl/>
                    <w:suppressLineNumbers w:val="0"/>
                    <w:jc w:val="center"/>
                    <w:rPr>
                      <w:rFonts w:ascii="Times New Roman" w:hAnsi="Times New Roman" w:eastAsia="黑体" w:cs="Times New Roman"/>
                      <w:color w:val="auto"/>
                      <w:kern w:val="0"/>
                      <w:sz w:val="21"/>
                      <w:szCs w:val="21"/>
                      <w:vertAlign w:val="baseline"/>
                      <w:lang w:val="en-US" w:eastAsia="zh-CN" w:bidi="ar-SA"/>
                    </w:rPr>
                  </w:pPr>
                  <w:r>
                    <w:rPr>
                      <w:rFonts w:hint="eastAsia" w:ascii="宋体" w:hAnsi="宋体" w:eastAsia="宋体" w:cs="宋体"/>
                      <w:color w:val="auto"/>
                      <w:kern w:val="0"/>
                      <w:sz w:val="21"/>
                      <w:szCs w:val="21"/>
                      <w:lang w:val="en-US" w:eastAsia="zh-CN" w:bidi="ar"/>
                    </w:rPr>
                    <w:t>本项目情况</w:t>
                  </w:r>
                </w:p>
              </w:tc>
              <w:tc>
                <w:tcPr>
                  <w:tcW w:w="927"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ascii="Times New Roman" w:hAnsi="Times New Roman" w:eastAsia="黑体" w:cs="Times New Roman"/>
                      <w:color w:val="auto"/>
                      <w:kern w:val="0"/>
                      <w:sz w:val="21"/>
                      <w:szCs w:val="21"/>
                      <w:vertAlign w:val="baseline"/>
                      <w:lang w:val="en-US" w:eastAsia="zh-CN" w:bidi="ar-SA"/>
                    </w:rPr>
                  </w:pPr>
                  <w:r>
                    <w:rPr>
                      <w:rFonts w:hint="eastAsia" w:ascii="宋体" w:hAnsi="宋体" w:eastAsia="宋体" w:cs="宋体"/>
                      <w:color w:val="auto"/>
                      <w:kern w:val="0"/>
                      <w:sz w:val="21"/>
                      <w:szCs w:val="21"/>
                      <w:lang w:val="en-US" w:eastAsia="zh-CN" w:bidi="ar"/>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gridSpan w:val="2"/>
                  <w:vAlign w:val="top"/>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textAlignment w:val="auto"/>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rPr>
                    <w:t>优先保护单元以生态优先为原则，突出空间布局约束，依法禁止或限制大规模、高强度工业开发和城镇建设活动，开展生态功能受损区域生态保护修复活动，确保重要生态环境功能不降低。</w:t>
                  </w:r>
                </w:p>
              </w:tc>
              <w:tc>
                <w:tcPr>
                  <w:tcW w:w="2700" w:type="dxa"/>
                  <w:vAlign w:val="top"/>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textAlignment w:val="auto"/>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rPr>
                    <w:t>项目为防洪工程，不属于</w:t>
                  </w:r>
                  <w:r>
                    <w:rPr>
                      <w:rFonts w:hint="eastAsia" w:ascii="宋体" w:hAnsi="宋体" w:eastAsia="宋体" w:cs="宋体"/>
                      <w:color w:val="auto"/>
                      <w:kern w:val="0"/>
                      <w:sz w:val="21"/>
                      <w:szCs w:val="21"/>
                      <w:vertAlign w:val="baseline"/>
                    </w:rPr>
                    <w:t>工业开发和城镇建设活动</w:t>
                  </w:r>
                  <w:r>
                    <w:rPr>
                      <w:rFonts w:hint="eastAsia" w:ascii="宋体" w:hAnsi="宋体" w:eastAsia="宋体" w:cs="宋体"/>
                      <w:color w:val="auto"/>
                      <w:kern w:val="0"/>
                      <w:sz w:val="21"/>
                      <w:szCs w:val="21"/>
                      <w:vertAlign w:val="baseline"/>
                      <w:lang w:val="en-US" w:eastAsia="zh-CN"/>
                    </w:rPr>
                    <w:t>，运营期不产生废气、废水、固废等污染物，不属于排放污染物的建设项目，满足优先管控单元管控要求。</w:t>
                  </w:r>
                </w:p>
              </w:tc>
              <w:tc>
                <w:tcPr>
                  <w:tcW w:w="927"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napToGrid w:val="0"/>
                <w:color w:val="auto"/>
                <w:kern w:val="0"/>
                <w:szCs w:val="21"/>
              </w:rPr>
            </w:pPr>
            <w:r>
              <w:rPr>
                <w:snapToGrid w:val="0"/>
                <w:color w:val="auto"/>
                <w:kern w:val="0"/>
                <w:szCs w:val="21"/>
              </w:rPr>
              <w:t>3、项目与湿地</w:t>
            </w:r>
            <w:r>
              <w:rPr>
                <w:rFonts w:hint="eastAsia"/>
                <w:snapToGrid w:val="0"/>
                <w:color w:val="auto"/>
                <w:kern w:val="0"/>
                <w:szCs w:val="21"/>
                <w:lang w:eastAsia="zh-CN"/>
              </w:rPr>
              <w:t>及河道</w:t>
            </w:r>
            <w:r>
              <w:rPr>
                <w:snapToGrid w:val="0"/>
                <w:color w:val="auto"/>
                <w:kern w:val="0"/>
                <w:szCs w:val="21"/>
              </w:rPr>
              <w:t>保护管理规定符合性分析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lang w:val="en-US" w:eastAsia="zh-CN"/>
              </w:rPr>
            </w:pPr>
            <w:r>
              <w:rPr>
                <w:rFonts w:hint="eastAsia"/>
                <w:snapToGrid w:val="0"/>
                <w:color w:val="auto"/>
                <w:kern w:val="0"/>
                <w:szCs w:val="21"/>
                <w:lang w:eastAsia="zh-CN"/>
              </w:rPr>
              <w:t>安康岚河</w:t>
            </w:r>
            <w:r>
              <w:rPr>
                <w:snapToGrid w:val="0"/>
                <w:color w:val="auto"/>
                <w:kern w:val="0"/>
                <w:szCs w:val="21"/>
              </w:rPr>
              <w:t>湿地，2008年8月</w:t>
            </w:r>
            <w:r>
              <w:rPr>
                <w:rFonts w:hint="eastAsia"/>
                <w:snapToGrid w:val="0"/>
                <w:color w:val="auto"/>
                <w:kern w:val="0"/>
                <w:szCs w:val="21"/>
                <w:lang w:val="en-US" w:eastAsia="zh-CN"/>
              </w:rPr>
              <w:t>6</w:t>
            </w:r>
            <w:r>
              <w:rPr>
                <w:snapToGrid w:val="0"/>
                <w:color w:val="auto"/>
                <w:kern w:val="0"/>
                <w:szCs w:val="21"/>
              </w:rPr>
              <w:t>日被陕西省人民政府列入《陕西省重要湿地名录》。2013年3月28日国家林业局令第32号公布《湿地保护管理规定》，2017年12月5日国家林业</w:t>
            </w:r>
            <w:r>
              <w:rPr>
                <w:snapToGrid w:val="0"/>
                <w:color w:val="auto"/>
                <w:kern w:val="0"/>
                <w:sz w:val="21"/>
                <w:szCs w:val="21"/>
              </w:rPr>
              <w:t>局令第48号修改《湿地保护管理规定》，自2018年1月1日起施行</w:t>
            </w:r>
            <w:r>
              <w:rPr>
                <w:rFonts w:hint="eastAsia"/>
                <w:snapToGrid w:val="0"/>
                <w:color w:val="auto"/>
                <w:kern w:val="0"/>
                <w:sz w:val="21"/>
                <w:szCs w:val="21"/>
                <w:lang w:eastAsia="zh-CN"/>
              </w:rPr>
              <w:t>。</w:t>
            </w:r>
            <w:r>
              <w:rPr>
                <w:color w:val="auto"/>
                <w:sz w:val="21"/>
                <w:szCs w:val="21"/>
              </w:rPr>
              <w:t>2006年4月2日陕西省第十届人民代表大会常务委员会第二十四次会议通过了《陕西省湿地保护条例》，2006年6月1日开始施行。</w:t>
            </w:r>
            <w:r>
              <w:rPr>
                <w:rFonts w:hint="eastAsia"/>
                <w:color w:val="auto"/>
                <w:sz w:val="21"/>
                <w:szCs w:val="21"/>
              </w:rPr>
              <w:t>2004年8月3日陕西省第十届人民代表大会常务委员会第十二次会议</w:t>
            </w:r>
            <w:r>
              <w:rPr>
                <w:rFonts w:hint="eastAsia"/>
                <w:color w:val="auto"/>
                <w:sz w:val="21"/>
                <w:szCs w:val="21"/>
                <w:lang w:val="en-US" w:eastAsia="zh-CN"/>
              </w:rPr>
              <w:t>修正通过</w:t>
            </w:r>
            <w:r>
              <w:rPr>
                <w:rFonts w:hint="eastAsia"/>
                <w:color w:val="auto"/>
                <w:sz w:val="21"/>
                <w:szCs w:val="21"/>
                <w:lang w:eastAsia="zh-CN"/>
              </w:rPr>
              <w:t>《</w:t>
            </w:r>
            <w:r>
              <w:rPr>
                <w:rFonts w:hint="eastAsia"/>
                <w:color w:val="auto"/>
                <w:sz w:val="21"/>
                <w:szCs w:val="21"/>
              </w:rPr>
              <w:t>陕西省河道管理条例</w:t>
            </w:r>
            <w:r>
              <w:rPr>
                <w:rFonts w:hint="eastAsia"/>
                <w:color w:val="auto"/>
                <w:sz w:val="21"/>
                <w:szCs w:val="21"/>
                <w:lang w:eastAsia="zh-CN"/>
              </w:rPr>
              <w:t>》</w:t>
            </w:r>
            <w:r>
              <w:rPr>
                <w:rFonts w:hint="eastAsia"/>
                <w:color w:val="auto"/>
                <w:sz w:val="21"/>
                <w:szCs w:val="21"/>
              </w:rPr>
              <w:t>（2004年修订）</w:t>
            </w:r>
            <w:r>
              <w:rPr>
                <w:rFonts w:hint="eastAsia"/>
                <w:color w:val="auto"/>
                <w:sz w:val="21"/>
                <w:szCs w:val="21"/>
                <w:lang w:eastAsia="zh-CN"/>
              </w:rPr>
              <w:t>，</w:t>
            </w:r>
            <w:r>
              <w:rPr>
                <w:rFonts w:hint="eastAsia"/>
                <w:color w:val="auto"/>
                <w:sz w:val="21"/>
                <w:szCs w:val="21"/>
              </w:rPr>
              <w:t>2004年8月3日</w:t>
            </w:r>
            <w:r>
              <w:rPr>
                <w:rFonts w:hint="eastAsia"/>
                <w:color w:val="auto"/>
                <w:sz w:val="21"/>
                <w:szCs w:val="21"/>
                <w:lang w:val="en-US" w:eastAsia="zh-CN"/>
              </w:rPr>
              <w:t>开始实施。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sz w:val="21"/>
                <w:szCs w:val="21"/>
                <w:lang w:val="en-US" w:eastAsia="zh-CN"/>
              </w:rPr>
              <w:t>本项目与河道及湿地管理条例符合性分析具体见表</w:t>
            </w:r>
            <w:r>
              <w:rPr>
                <w:rFonts w:hint="default"/>
                <w:color w:val="auto"/>
                <w:sz w:val="21"/>
                <w:szCs w:val="21"/>
                <w:lang w:val="en-US" w:eastAsia="zh-CN"/>
              </w:rPr>
              <w:t>1-</w:t>
            </w:r>
            <w:r>
              <w:rPr>
                <w:rFonts w:hint="eastAsia"/>
                <w:color w:val="auto"/>
                <w:sz w:val="21"/>
                <w:szCs w:val="21"/>
                <w:lang w:val="en-US" w:eastAsia="zh-CN"/>
              </w:rPr>
              <w:t>4。</w:t>
            </w:r>
          </w:p>
          <w:p>
            <w:pPr>
              <w:keepNext w:val="0"/>
              <w:keepLines w:val="0"/>
              <w:widowControl/>
              <w:suppressLineNumbers w:val="0"/>
              <w:jc w:val="center"/>
              <w:rPr>
                <w:rFonts w:eastAsia="黑体"/>
                <w:color w:val="auto"/>
                <w:kern w:val="0"/>
                <w:szCs w:val="21"/>
              </w:rPr>
            </w:pPr>
            <w:r>
              <w:rPr>
                <w:rFonts w:ascii="黑体" w:hAnsi="宋体" w:eastAsia="黑体" w:cs="黑体"/>
                <w:color w:val="auto"/>
                <w:kern w:val="0"/>
                <w:sz w:val="21"/>
                <w:szCs w:val="21"/>
                <w:lang w:val="en-US" w:eastAsia="zh-CN" w:bidi="ar"/>
              </w:rPr>
              <w:t>表</w:t>
            </w:r>
            <w:r>
              <w:rPr>
                <w:rFonts w:hint="default" w:ascii="Times New Roman" w:hAnsi="Times New Roman" w:eastAsia="宋体" w:cs="Times New Roman"/>
                <w:color w:val="auto"/>
                <w:kern w:val="0"/>
                <w:sz w:val="21"/>
                <w:szCs w:val="21"/>
                <w:lang w:val="en-US" w:eastAsia="zh-CN" w:bidi="ar"/>
              </w:rPr>
              <w:t>1-</w:t>
            </w:r>
            <w:r>
              <w:rPr>
                <w:rFonts w:hint="eastAsia" w:cs="Times New Roman"/>
                <w:color w:val="auto"/>
                <w:kern w:val="0"/>
                <w:sz w:val="21"/>
                <w:szCs w:val="21"/>
                <w:lang w:val="en-US" w:eastAsia="zh-CN" w:bidi="ar"/>
              </w:rPr>
              <w:t>4</w:t>
            </w:r>
            <w:r>
              <w:rPr>
                <w:rFonts w:hint="default" w:ascii="Times New Roman" w:hAnsi="Times New Roman" w:eastAsia="宋体" w:cs="Times New Roman"/>
                <w:color w:val="auto"/>
                <w:kern w:val="0"/>
                <w:sz w:val="21"/>
                <w:szCs w:val="21"/>
                <w:lang w:val="en-US" w:eastAsia="zh-CN" w:bidi="ar"/>
              </w:rPr>
              <w:t xml:space="preserve"> </w:t>
            </w:r>
            <w:r>
              <w:rPr>
                <w:rFonts w:hint="eastAsia" w:ascii="黑体" w:hAnsi="宋体" w:eastAsia="黑体" w:cs="黑体"/>
                <w:color w:val="auto"/>
                <w:kern w:val="0"/>
                <w:sz w:val="21"/>
                <w:szCs w:val="21"/>
                <w:lang w:val="en-US" w:eastAsia="zh-CN" w:bidi="ar"/>
              </w:rPr>
              <w:t>本项目与河道及湿地管理条例符合性分析一览表</w:t>
            </w:r>
          </w:p>
          <w:tbl>
            <w:tblPr>
              <w:tblStyle w:val="19"/>
              <w:tblW w:w="7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10"/>
              <w:gridCol w:w="1371"/>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spacing w:line="240" w:lineRule="exact"/>
                    <w:jc w:val="center"/>
                    <w:rPr>
                      <w:rFonts w:hint="eastAsia" w:eastAsia="宋体"/>
                      <w:color w:val="auto"/>
                      <w:kern w:val="0"/>
                      <w:sz w:val="21"/>
                      <w:szCs w:val="21"/>
                      <w:lang w:eastAsia="zh-CN"/>
                    </w:rPr>
                  </w:pPr>
                  <w:r>
                    <w:rPr>
                      <w:rFonts w:hint="eastAsia"/>
                      <w:color w:val="auto"/>
                      <w:kern w:val="0"/>
                      <w:sz w:val="21"/>
                      <w:szCs w:val="21"/>
                      <w:lang w:val="en-US" w:eastAsia="zh-CN"/>
                    </w:rPr>
                    <w:t>文件</w:t>
                  </w:r>
                </w:p>
              </w:tc>
              <w:tc>
                <w:tcPr>
                  <w:tcW w:w="3510" w:type="dxa"/>
                  <w:vAlign w:val="center"/>
                </w:tcPr>
                <w:p>
                  <w:pPr>
                    <w:spacing w:line="240" w:lineRule="exact"/>
                    <w:jc w:val="center"/>
                    <w:rPr>
                      <w:rFonts w:hint="eastAsia" w:eastAsia="宋体"/>
                      <w:color w:val="auto"/>
                      <w:kern w:val="0"/>
                      <w:sz w:val="21"/>
                      <w:szCs w:val="21"/>
                      <w:lang w:eastAsia="zh-CN"/>
                    </w:rPr>
                  </w:pPr>
                  <w:r>
                    <w:rPr>
                      <w:rFonts w:hint="eastAsia"/>
                      <w:color w:val="auto"/>
                      <w:kern w:val="0"/>
                      <w:sz w:val="21"/>
                      <w:szCs w:val="21"/>
                      <w:lang w:val="en-US" w:eastAsia="zh-CN"/>
                    </w:rPr>
                    <w:t>要求</w:t>
                  </w:r>
                </w:p>
              </w:tc>
              <w:tc>
                <w:tcPr>
                  <w:tcW w:w="1371" w:type="dxa"/>
                  <w:vAlign w:val="center"/>
                </w:tcPr>
                <w:p>
                  <w:pPr>
                    <w:spacing w:line="240" w:lineRule="exact"/>
                    <w:jc w:val="center"/>
                    <w:rPr>
                      <w:rFonts w:hint="eastAsia" w:eastAsia="宋体"/>
                      <w:color w:val="auto"/>
                      <w:kern w:val="0"/>
                      <w:sz w:val="21"/>
                      <w:szCs w:val="21"/>
                      <w:lang w:eastAsia="zh-CN"/>
                    </w:rPr>
                  </w:pPr>
                  <w:r>
                    <w:rPr>
                      <w:rFonts w:hint="eastAsia"/>
                      <w:color w:val="auto"/>
                      <w:kern w:val="0"/>
                      <w:sz w:val="21"/>
                      <w:szCs w:val="21"/>
                      <w:lang w:eastAsia="zh-CN"/>
                    </w:rPr>
                    <w:t>本项目情况</w:t>
                  </w:r>
                </w:p>
              </w:tc>
              <w:tc>
                <w:tcPr>
                  <w:tcW w:w="974" w:type="dxa"/>
                  <w:vAlign w:val="center"/>
                </w:tcPr>
                <w:p>
                  <w:pPr>
                    <w:spacing w:line="240" w:lineRule="exact"/>
                    <w:jc w:val="center"/>
                    <w:rPr>
                      <w:color w:val="auto"/>
                      <w:kern w:val="0"/>
                      <w:sz w:val="21"/>
                      <w:szCs w:val="21"/>
                    </w:rPr>
                  </w:pPr>
                  <w:r>
                    <w:rPr>
                      <w:color w:val="auto"/>
                      <w:kern w:val="0"/>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spacing w:line="240" w:lineRule="exact"/>
                    <w:jc w:val="center"/>
                    <w:rPr>
                      <w:color w:val="auto"/>
                      <w:kern w:val="0"/>
                      <w:sz w:val="21"/>
                      <w:szCs w:val="21"/>
                    </w:rPr>
                  </w:pPr>
                  <w:r>
                    <w:rPr>
                      <w:snapToGrid w:val="0"/>
                      <w:color w:val="auto"/>
                      <w:kern w:val="0"/>
                      <w:szCs w:val="21"/>
                    </w:rPr>
                    <w:t>《湿地保护管理规定》</w:t>
                  </w:r>
                </w:p>
              </w:tc>
              <w:tc>
                <w:tcPr>
                  <w:tcW w:w="3510" w:type="dxa"/>
                  <w:vAlign w:val="center"/>
                </w:tcPr>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第二十九条 除法律法规有特别规定的以外，在湿地内禁止从事下列活动：</w:t>
                  </w:r>
                </w:p>
                <w:p>
                  <w:pPr>
                    <w:keepNext w:val="0"/>
                    <w:keepLines w:val="0"/>
                    <w:widowControl/>
                    <w:suppressLineNumbers w:val="0"/>
                    <w:jc w:val="left"/>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（一）开（围）垦、填埋或者排干湿地；</w:t>
                  </w:r>
                </w:p>
                <w:p>
                  <w:pPr>
                    <w:keepNext w:val="0"/>
                    <w:keepLines w:val="0"/>
                    <w:widowControl/>
                    <w:suppressLineNumbers w:val="0"/>
                    <w:jc w:val="left"/>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（二）永久性截断湿地水源；</w:t>
                  </w:r>
                </w:p>
                <w:p>
                  <w:pPr>
                    <w:keepNext w:val="0"/>
                    <w:keepLines w:val="0"/>
                    <w:widowControl/>
                    <w:suppressLineNumbers w:val="0"/>
                    <w:jc w:val="left"/>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（三）挖沙、采矿；</w:t>
                  </w:r>
                </w:p>
                <w:p>
                  <w:pPr>
                    <w:keepNext w:val="0"/>
                    <w:keepLines w:val="0"/>
                    <w:widowControl/>
                    <w:suppressLineNumbers w:val="0"/>
                    <w:jc w:val="left"/>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（四）倾倒有毒有害物质、废弃物、垃圾；</w:t>
                  </w:r>
                </w:p>
                <w:p>
                  <w:pPr>
                    <w:keepNext w:val="0"/>
                    <w:keepLines w:val="0"/>
                    <w:widowControl/>
                    <w:suppressLineNumbers w:val="0"/>
                    <w:jc w:val="left"/>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（五）破坏野生动物栖息地和迁徙通道、鱼类洄游通道，滥采滥捕野生动植物；</w:t>
                  </w:r>
                </w:p>
                <w:p>
                  <w:pPr>
                    <w:keepNext w:val="0"/>
                    <w:keepLines w:val="0"/>
                    <w:widowControl/>
                    <w:suppressLineNumbers w:val="0"/>
                    <w:jc w:val="left"/>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（六）引进外来物种；</w:t>
                  </w:r>
                </w:p>
                <w:p>
                  <w:pPr>
                    <w:keepNext w:val="0"/>
                    <w:keepLines w:val="0"/>
                    <w:widowControl/>
                    <w:suppressLineNumbers w:val="0"/>
                    <w:jc w:val="left"/>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（七）擅自放牧、捕捞、取土、取水、排污、放生；</w:t>
                  </w:r>
                </w:p>
                <w:p>
                  <w:pPr>
                    <w:keepNext w:val="0"/>
                    <w:keepLines w:val="0"/>
                    <w:widowControl/>
                    <w:suppressLineNumbers w:val="0"/>
                    <w:jc w:val="left"/>
                    <w:rPr>
                      <w:color w:val="auto"/>
                      <w:kern w:val="0"/>
                      <w:sz w:val="21"/>
                      <w:szCs w:val="21"/>
                    </w:rPr>
                  </w:pPr>
                  <w:r>
                    <w:rPr>
                      <w:rFonts w:hint="default" w:ascii="宋体" w:hAnsi="宋体" w:eastAsia="宋体" w:cs="宋体"/>
                      <w:color w:val="auto"/>
                      <w:kern w:val="0"/>
                      <w:sz w:val="21"/>
                      <w:szCs w:val="21"/>
                      <w:lang w:val="en-US" w:eastAsia="zh-CN" w:bidi="ar"/>
                    </w:rPr>
                    <w:t>（八）其他破坏湿地及其生态功能的活动。</w:t>
                  </w:r>
                </w:p>
              </w:tc>
              <w:tc>
                <w:tcPr>
                  <w:tcW w:w="1371" w:type="dxa"/>
                  <w:vAlign w:val="center"/>
                </w:tcPr>
                <w:p>
                  <w:pPr>
                    <w:widowControl/>
                    <w:jc w:val="left"/>
                    <w:rPr>
                      <w:color w:val="auto"/>
                      <w:kern w:val="0"/>
                      <w:sz w:val="21"/>
                      <w:szCs w:val="21"/>
                    </w:rPr>
                  </w:pPr>
                  <w:r>
                    <w:rPr>
                      <w:rFonts w:hint="eastAsia" w:ascii="宋体" w:hAnsi="宋体" w:eastAsia="宋体" w:cs="宋体"/>
                      <w:color w:val="auto"/>
                      <w:kern w:val="0"/>
                      <w:sz w:val="21"/>
                      <w:szCs w:val="21"/>
                      <w:lang w:val="en-US" w:eastAsia="zh-CN" w:bidi="ar"/>
                    </w:rPr>
                    <w:t>本项目主要为防洪工程，施工过程中</w:t>
                  </w:r>
                  <w:r>
                    <w:rPr>
                      <w:rFonts w:hint="eastAsia" w:ascii="宋体" w:hAnsi="宋体" w:cs="宋体"/>
                      <w:color w:val="auto"/>
                      <w:kern w:val="0"/>
                      <w:sz w:val="21"/>
                      <w:szCs w:val="21"/>
                      <w:lang w:val="en-US" w:eastAsia="zh-CN" w:bidi="ar"/>
                    </w:rPr>
                    <w:t>采取围堰施工，不截断河流，</w:t>
                  </w:r>
                  <w:r>
                    <w:rPr>
                      <w:rFonts w:hint="eastAsia" w:ascii="宋体" w:hAnsi="宋体" w:eastAsia="宋体" w:cs="宋体"/>
                      <w:color w:val="auto"/>
                      <w:kern w:val="0"/>
                      <w:sz w:val="21"/>
                      <w:szCs w:val="21"/>
                      <w:lang w:val="en-US" w:eastAsia="zh-CN" w:bidi="ar"/>
                    </w:rPr>
                    <w:t>不排放废水，不在河道范围内堆放固废及其他原材料</w:t>
                  </w:r>
                  <w:r>
                    <w:rPr>
                      <w:rFonts w:hint="eastAsia" w:ascii="宋体" w:hAnsi="宋体" w:cs="宋体"/>
                      <w:color w:val="auto"/>
                      <w:kern w:val="0"/>
                      <w:sz w:val="21"/>
                      <w:szCs w:val="21"/>
                      <w:lang w:val="en-US" w:eastAsia="zh-CN" w:bidi="ar"/>
                    </w:rPr>
                    <w:t>，不存在</w:t>
                  </w:r>
                  <w:r>
                    <w:rPr>
                      <w:rFonts w:hint="eastAsia" w:ascii="宋体" w:hAnsi="宋体" w:eastAsia="宋体" w:cs="宋体"/>
                      <w:color w:val="auto"/>
                      <w:kern w:val="0"/>
                      <w:sz w:val="21"/>
                      <w:szCs w:val="21"/>
                      <w:lang w:val="en-US" w:eastAsia="zh-CN" w:bidi="ar"/>
                    </w:rPr>
                    <w:t>湿地内禁止从事下列活动。</w:t>
                  </w:r>
                </w:p>
              </w:tc>
              <w:tc>
                <w:tcPr>
                  <w:tcW w:w="974" w:type="dxa"/>
                  <w:vAlign w:val="center"/>
                </w:tcPr>
                <w:p>
                  <w:pPr>
                    <w:widowControl/>
                    <w:jc w:val="left"/>
                    <w:rPr>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keepNext w:val="0"/>
                    <w:keepLines w:val="0"/>
                    <w:widowControl/>
                    <w:suppressLineNumbers w:val="0"/>
                    <w:jc w:val="left"/>
                    <w:rPr>
                      <w:color w:val="auto"/>
                      <w:kern w:val="0"/>
                      <w:sz w:val="21"/>
                      <w:szCs w:val="21"/>
                    </w:rPr>
                  </w:pPr>
                  <w:r>
                    <w:rPr>
                      <w:rFonts w:hint="eastAsia" w:ascii="宋体" w:hAnsi="宋体" w:eastAsia="宋体" w:cs="宋体"/>
                      <w:color w:val="auto"/>
                      <w:kern w:val="0"/>
                      <w:sz w:val="21"/>
                      <w:szCs w:val="21"/>
                      <w:lang w:val="en-US" w:eastAsia="zh-CN" w:bidi="ar"/>
                    </w:rPr>
                    <w:t>《陕西省湿地保护条例》</w:t>
                  </w:r>
                </w:p>
              </w:tc>
              <w:tc>
                <w:tcPr>
                  <w:tcW w:w="3510" w:type="dxa"/>
                  <w:vAlign w:val="center"/>
                </w:tcPr>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第二十七条 禁止在天然湿地范围内从事下列活动：</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（一）开垦、烧荒；</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（二）擅自排放湿地蓄水；</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（三）破坏鱼类等水生生物洄游通道或者野生动物栖息地；</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（四）擅自采砂、采石、采矿、挖塘；</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（五）擅自砍伐林木、采集野生植物，猎捕野生动物、捡拾鸟卵或者采用灭绝性方式捕捞鱼类及其他水生生物；</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（六）向天然湿地内排放超标污水或者有毒有害气体，投放可能危害水体、水生生物的化学物品；</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（七）向天然湿地及其周边一公里范围内倾倒固体废弃物；</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（八）擅自向天然湿地引入外来物种；</w:t>
                  </w:r>
                </w:p>
                <w:p>
                  <w:pPr>
                    <w:keepNext w:val="0"/>
                    <w:keepLines w:val="0"/>
                    <w:widowControl/>
                    <w:suppressLineNumbers w:val="0"/>
                    <w:jc w:val="left"/>
                    <w:rPr>
                      <w:color w:val="auto"/>
                      <w:kern w:val="0"/>
                      <w:sz w:val="21"/>
                      <w:szCs w:val="21"/>
                    </w:rPr>
                  </w:pPr>
                  <w:r>
                    <w:rPr>
                      <w:rFonts w:hint="eastAsia" w:ascii="宋体" w:hAnsi="宋体" w:eastAsia="宋体" w:cs="宋体"/>
                      <w:color w:val="auto"/>
                      <w:kern w:val="0"/>
                      <w:sz w:val="21"/>
                      <w:szCs w:val="21"/>
                      <w:lang w:val="en-US" w:eastAsia="zh-CN" w:bidi="ar"/>
                    </w:rPr>
                    <w:t>（九）其他破坏天然湿地的行为。</w:t>
                  </w:r>
                </w:p>
              </w:tc>
              <w:tc>
                <w:tcPr>
                  <w:tcW w:w="1371" w:type="dxa"/>
                  <w:vAlign w:val="center"/>
                </w:tcPr>
                <w:p>
                  <w:pPr>
                    <w:keepNext w:val="0"/>
                    <w:keepLines w:val="0"/>
                    <w:widowControl/>
                    <w:suppressLineNumbers w:val="0"/>
                    <w:jc w:val="left"/>
                    <w:rPr>
                      <w:color w:val="auto"/>
                      <w:kern w:val="0"/>
                      <w:sz w:val="21"/>
                      <w:szCs w:val="21"/>
                    </w:rPr>
                  </w:pPr>
                  <w:r>
                    <w:rPr>
                      <w:rFonts w:hint="eastAsia" w:ascii="宋体" w:hAnsi="宋体" w:eastAsia="宋体" w:cs="宋体"/>
                      <w:color w:val="auto"/>
                      <w:kern w:val="0"/>
                      <w:sz w:val="21"/>
                      <w:szCs w:val="21"/>
                      <w:lang w:val="en-US" w:eastAsia="zh-CN" w:bidi="ar"/>
                    </w:rPr>
                    <w:t>本项目主要为防洪工程，施工过程中</w:t>
                  </w:r>
                  <w:r>
                    <w:rPr>
                      <w:rFonts w:hint="eastAsia" w:ascii="宋体" w:hAnsi="宋体" w:cs="宋体"/>
                      <w:color w:val="auto"/>
                      <w:kern w:val="0"/>
                      <w:sz w:val="21"/>
                      <w:szCs w:val="21"/>
                      <w:lang w:val="en-US" w:eastAsia="zh-CN" w:bidi="ar"/>
                    </w:rPr>
                    <w:t>采取围堰施工，不截断河流，</w:t>
                  </w:r>
                  <w:r>
                    <w:rPr>
                      <w:rFonts w:hint="eastAsia" w:ascii="宋体" w:hAnsi="宋体" w:eastAsia="宋体" w:cs="宋体"/>
                      <w:color w:val="auto"/>
                      <w:kern w:val="0"/>
                      <w:sz w:val="21"/>
                      <w:szCs w:val="21"/>
                      <w:lang w:val="en-US" w:eastAsia="zh-CN" w:bidi="ar"/>
                    </w:rPr>
                    <w:t>不排放废水，不在河道范围内堆放固废及其他原材料</w:t>
                  </w:r>
                  <w:r>
                    <w:rPr>
                      <w:rFonts w:hint="eastAsia" w:ascii="宋体" w:hAnsi="宋体" w:cs="宋体"/>
                      <w:color w:val="auto"/>
                      <w:kern w:val="0"/>
                      <w:sz w:val="21"/>
                      <w:szCs w:val="21"/>
                      <w:lang w:val="en-US" w:eastAsia="zh-CN" w:bidi="ar"/>
                    </w:rPr>
                    <w:t>，不存在</w:t>
                  </w:r>
                  <w:r>
                    <w:rPr>
                      <w:rFonts w:hint="eastAsia" w:ascii="宋体" w:hAnsi="宋体" w:eastAsia="宋体" w:cs="宋体"/>
                      <w:color w:val="auto"/>
                      <w:kern w:val="0"/>
                      <w:sz w:val="21"/>
                      <w:szCs w:val="21"/>
                      <w:lang w:val="en-US" w:eastAsia="zh-CN" w:bidi="ar"/>
                    </w:rPr>
                    <w:t>湿地内禁止从事下列活动。</w:t>
                  </w:r>
                </w:p>
              </w:tc>
              <w:tc>
                <w:tcPr>
                  <w:tcW w:w="974" w:type="dxa"/>
                  <w:vAlign w:val="center"/>
                </w:tcPr>
                <w:p>
                  <w:pPr>
                    <w:widowControl/>
                    <w:jc w:val="left"/>
                    <w:rPr>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restart"/>
                  <w:vAlign w:val="center"/>
                </w:tcPr>
                <w:p>
                  <w:pPr>
                    <w:keepNext w:val="0"/>
                    <w:keepLines w:val="0"/>
                    <w:widowControl/>
                    <w:suppressLineNumbers w:val="0"/>
                    <w:jc w:val="left"/>
                    <w:rPr>
                      <w:color w:val="auto"/>
                      <w:kern w:val="0"/>
                      <w:sz w:val="21"/>
                      <w:szCs w:val="21"/>
                    </w:rPr>
                  </w:pPr>
                  <w:r>
                    <w:rPr>
                      <w:rFonts w:hint="eastAsia" w:ascii="宋体" w:hAnsi="宋体" w:eastAsia="宋体" w:cs="宋体"/>
                      <w:color w:val="auto"/>
                      <w:kern w:val="0"/>
                      <w:sz w:val="21"/>
                      <w:szCs w:val="21"/>
                      <w:lang w:val="en-US" w:eastAsia="zh-CN" w:bidi="ar"/>
                    </w:rPr>
                    <w:t>《陕西省河道管理条例》</w:t>
                  </w:r>
                </w:p>
              </w:tc>
              <w:tc>
                <w:tcPr>
                  <w:tcW w:w="3510" w:type="dxa"/>
                  <w:vAlign w:val="center"/>
                </w:tcPr>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第二十一条在河道管理范围内禁止下列为：</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（一）修建违章丁坝、顺坝、围堤、生产堤、高路、高渠、房屋；</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（二）存放物料，倾倒垃圾、矿渣、煤灰、废弃土石料和其他废弃物；</w:t>
                  </w:r>
                </w:p>
                <w:p>
                  <w:pPr>
                    <w:keepNext w:val="0"/>
                    <w:keepLines w:val="0"/>
                    <w:widowControl/>
                    <w:suppressLineNumbers w:val="0"/>
                    <w:jc w:val="left"/>
                    <w:rPr>
                      <w:color w:val="auto"/>
                      <w:kern w:val="0"/>
                      <w:sz w:val="21"/>
                      <w:szCs w:val="21"/>
                    </w:rPr>
                  </w:pPr>
                  <w:r>
                    <w:rPr>
                      <w:rFonts w:hint="eastAsia" w:ascii="宋体" w:hAnsi="宋体" w:eastAsia="宋体" w:cs="宋体"/>
                      <w:color w:val="auto"/>
                      <w:kern w:val="0"/>
                      <w:sz w:val="21"/>
                      <w:szCs w:val="21"/>
                      <w:lang w:val="en-US" w:eastAsia="zh-CN" w:bidi="ar"/>
                    </w:rPr>
                    <w:t>（三）围河造田、种植阻水林木和高秆作物。</w:t>
                  </w:r>
                </w:p>
              </w:tc>
              <w:tc>
                <w:tcPr>
                  <w:tcW w:w="1371" w:type="dxa"/>
                  <w:vAlign w:val="center"/>
                </w:tcPr>
                <w:p>
                  <w:pPr>
                    <w:keepNext w:val="0"/>
                    <w:keepLines w:val="0"/>
                    <w:widowControl/>
                    <w:suppressLineNumbers w:val="0"/>
                    <w:jc w:val="left"/>
                    <w:rPr>
                      <w:color w:val="auto"/>
                      <w:kern w:val="0"/>
                      <w:sz w:val="21"/>
                      <w:szCs w:val="21"/>
                    </w:rPr>
                  </w:pPr>
                  <w:r>
                    <w:rPr>
                      <w:rFonts w:hint="eastAsia" w:ascii="宋体" w:hAnsi="宋体" w:eastAsia="宋体" w:cs="宋体"/>
                      <w:color w:val="auto"/>
                      <w:kern w:val="0"/>
                      <w:sz w:val="21"/>
                      <w:szCs w:val="21"/>
                      <w:lang w:val="en-US" w:eastAsia="zh-CN" w:bidi="ar"/>
                    </w:rPr>
                    <w:t>本项目主要是防洪工程，不属于条例中禁止的行为。</w:t>
                  </w:r>
                </w:p>
              </w:tc>
              <w:tc>
                <w:tcPr>
                  <w:tcW w:w="974" w:type="dxa"/>
                  <w:vAlign w:val="center"/>
                </w:tcPr>
                <w:p>
                  <w:pPr>
                    <w:widowControl/>
                    <w:jc w:val="left"/>
                    <w:rPr>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vAlign w:val="center"/>
                </w:tcPr>
                <w:p>
                  <w:pPr>
                    <w:spacing w:line="240" w:lineRule="exact"/>
                    <w:jc w:val="center"/>
                    <w:rPr>
                      <w:color w:val="auto"/>
                      <w:kern w:val="0"/>
                      <w:sz w:val="21"/>
                      <w:szCs w:val="21"/>
                    </w:rPr>
                  </w:pPr>
                </w:p>
              </w:tc>
              <w:tc>
                <w:tcPr>
                  <w:tcW w:w="3510" w:type="dxa"/>
                  <w:vAlign w:val="center"/>
                </w:tcPr>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第二十二条在河道管理范围内进行下列活动，必须按照河道管理权限报水行政主管部门审批：</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（一）临时占用河道、湖泊管理范围内滩地、水面的；</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（二）修建越堤路、过河便桥、码头的；</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（三）打井、钻探，穿堤埋设管线的；</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（四）在河道滩地开采矿产资源，进行考古发掘，开发旅游资源的；</w:t>
                  </w:r>
                </w:p>
                <w:p>
                  <w:pPr>
                    <w:keepNext w:val="0"/>
                    <w:keepLines w:val="0"/>
                    <w:widowControl/>
                    <w:suppressLineNumbers w:val="0"/>
                    <w:jc w:val="left"/>
                    <w:rPr>
                      <w:color w:val="auto"/>
                      <w:kern w:val="0"/>
                      <w:sz w:val="21"/>
                      <w:szCs w:val="21"/>
                    </w:rPr>
                  </w:pPr>
                  <w:r>
                    <w:rPr>
                      <w:rFonts w:hint="eastAsia" w:ascii="宋体" w:hAnsi="宋体" w:eastAsia="宋体" w:cs="宋体"/>
                      <w:color w:val="auto"/>
                      <w:kern w:val="0"/>
                      <w:sz w:val="21"/>
                      <w:szCs w:val="21"/>
                      <w:lang w:val="en-US" w:eastAsia="zh-CN" w:bidi="ar"/>
                    </w:rPr>
                    <w:t>（五）其他必须在河道管理范围内进行生产建设活动的。</w:t>
                  </w:r>
                </w:p>
              </w:tc>
              <w:tc>
                <w:tcPr>
                  <w:tcW w:w="1371" w:type="dxa"/>
                  <w:vAlign w:val="center"/>
                </w:tcPr>
                <w:p>
                  <w:pPr>
                    <w:keepNext w:val="0"/>
                    <w:keepLines w:val="0"/>
                    <w:widowControl/>
                    <w:suppressLineNumbers w:val="0"/>
                    <w:jc w:val="left"/>
                    <w:rPr>
                      <w:color w:val="auto"/>
                      <w:kern w:val="0"/>
                      <w:sz w:val="21"/>
                      <w:szCs w:val="21"/>
                    </w:rPr>
                  </w:pPr>
                  <w:r>
                    <w:rPr>
                      <w:rFonts w:hint="eastAsia" w:ascii="宋体" w:hAnsi="宋体" w:eastAsia="宋体" w:cs="宋体"/>
                      <w:color w:val="auto"/>
                      <w:kern w:val="0"/>
                      <w:sz w:val="21"/>
                      <w:szCs w:val="21"/>
                      <w:lang w:val="en-US" w:eastAsia="zh-CN" w:bidi="ar"/>
                    </w:rPr>
                    <w:t>本项目主要是防洪工程，不属于条例中禁止的行为。</w:t>
                  </w:r>
                </w:p>
              </w:tc>
              <w:tc>
                <w:tcPr>
                  <w:tcW w:w="974" w:type="dxa"/>
                  <w:vAlign w:val="center"/>
                </w:tcPr>
                <w:p>
                  <w:pPr>
                    <w:widowControl/>
                    <w:jc w:val="left"/>
                    <w:rPr>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vAlign w:val="center"/>
                </w:tcPr>
                <w:p>
                  <w:pPr>
                    <w:spacing w:line="240" w:lineRule="exact"/>
                    <w:jc w:val="center"/>
                    <w:rPr>
                      <w:color w:val="auto"/>
                      <w:kern w:val="0"/>
                      <w:sz w:val="21"/>
                      <w:szCs w:val="21"/>
                    </w:rPr>
                  </w:pPr>
                </w:p>
              </w:tc>
              <w:tc>
                <w:tcPr>
                  <w:tcW w:w="3510" w:type="dxa"/>
                  <w:vAlign w:val="center"/>
                </w:tcPr>
                <w:p>
                  <w:pPr>
                    <w:keepNext w:val="0"/>
                    <w:keepLines w:val="0"/>
                    <w:widowControl/>
                    <w:suppressLineNumbers w:val="0"/>
                    <w:jc w:val="left"/>
                    <w:rPr>
                      <w:color w:val="auto"/>
                      <w:kern w:val="0"/>
                      <w:sz w:val="21"/>
                      <w:szCs w:val="21"/>
                    </w:rPr>
                  </w:pPr>
                  <w:r>
                    <w:rPr>
                      <w:rFonts w:hint="eastAsia" w:ascii="宋体" w:hAnsi="宋体" w:eastAsia="宋体" w:cs="宋体"/>
                      <w:color w:val="auto"/>
                      <w:kern w:val="0"/>
                      <w:sz w:val="21"/>
                      <w:szCs w:val="21"/>
                      <w:lang w:val="en-US" w:eastAsia="zh-CN" w:bidi="ar"/>
                    </w:rPr>
                    <w:t>第二十三条在河道管理范围内采运砂、石、土料以及淘金等，必须报经水行政主管部门批准，按照指定范围和要求作业，并按规定向水行政主管部门缴纳管理费。</w:t>
                  </w:r>
                </w:p>
              </w:tc>
              <w:tc>
                <w:tcPr>
                  <w:tcW w:w="1371" w:type="dxa"/>
                  <w:vAlign w:val="center"/>
                </w:tcPr>
                <w:p>
                  <w:pPr>
                    <w:keepNext w:val="0"/>
                    <w:keepLines w:val="0"/>
                    <w:widowControl/>
                    <w:suppressLineNumbers w:val="0"/>
                    <w:jc w:val="left"/>
                    <w:rPr>
                      <w:color w:val="auto"/>
                      <w:kern w:val="0"/>
                      <w:sz w:val="21"/>
                      <w:szCs w:val="21"/>
                    </w:rPr>
                  </w:pPr>
                  <w:r>
                    <w:rPr>
                      <w:rFonts w:hint="eastAsia" w:ascii="宋体" w:hAnsi="宋体" w:eastAsia="宋体" w:cs="宋体"/>
                      <w:color w:val="auto"/>
                      <w:kern w:val="0"/>
                      <w:sz w:val="21"/>
                      <w:szCs w:val="21"/>
                      <w:lang w:val="en-US" w:eastAsia="zh-CN" w:bidi="ar"/>
                    </w:rPr>
                    <w:t>本项目主要是防洪工程</w:t>
                  </w:r>
                  <w:r>
                    <w:rPr>
                      <w:rFonts w:hint="eastAsia" w:ascii="宋体" w:hAnsi="宋体" w:cs="宋体"/>
                      <w:color w:val="auto"/>
                      <w:kern w:val="0"/>
                      <w:sz w:val="21"/>
                      <w:szCs w:val="21"/>
                      <w:lang w:val="en-US" w:eastAsia="zh-CN" w:bidi="ar"/>
                    </w:rPr>
                    <w:t>，不</w:t>
                  </w:r>
                  <w:r>
                    <w:rPr>
                      <w:rFonts w:hint="eastAsia" w:ascii="宋体" w:hAnsi="宋体" w:eastAsia="宋体" w:cs="宋体"/>
                      <w:color w:val="auto"/>
                      <w:kern w:val="0"/>
                      <w:sz w:val="21"/>
                      <w:szCs w:val="21"/>
                      <w:lang w:val="en-US" w:eastAsia="zh-CN" w:bidi="ar"/>
                    </w:rPr>
                    <w:t>涉及在河道管理范围内采运砂、石、土料以及淘金等行为。</w:t>
                  </w:r>
                </w:p>
              </w:tc>
              <w:tc>
                <w:tcPr>
                  <w:tcW w:w="974" w:type="dxa"/>
                  <w:vAlign w:val="center"/>
                </w:tcPr>
                <w:p>
                  <w:pPr>
                    <w:widowControl/>
                    <w:jc w:val="left"/>
                    <w:rPr>
                      <w:rFonts w:hint="eastAsia" w:eastAsia="宋体"/>
                      <w:color w:val="auto"/>
                      <w:kern w:val="0"/>
                      <w:sz w:val="21"/>
                      <w:szCs w:val="21"/>
                      <w:lang w:val="en-US" w:eastAsia="zh-CN" w:bidi="ar"/>
                    </w:rPr>
                  </w:pPr>
                  <w:r>
                    <w:rPr>
                      <w:rFonts w:hint="eastAsia"/>
                      <w:color w:val="auto"/>
                      <w:kern w:val="0"/>
                      <w:sz w:val="21"/>
                      <w:szCs w:val="21"/>
                      <w:lang w:val="en-US" w:eastAsia="zh-CN" w:bidi="ar"/>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20" w:firstLineChars="200"/>
              <w:jc w:val="left"/>
              <w:textAlignment w:val="auto"/>
              <w:rPr>
                <w:rFonts w:hint="eastAsia"/>
                <w:color w:val="auto"/>
                <w:kern w:val="0"/>
                <w:szCs w:val="21"/>
                <w:lang w:val="en-US" w:eastAsia="zh-CN"/>
              </w:rPr>
            </w:pPr>
            <w:r>
              <w:rPr>
                <w:rFonts w:hint="default"/>
                <w:color w:val="auto"/>
                <w:kern w:val="0"/>
                <w:szCs w:val="21"/>
                <w:lang w:val="en-US" w:eastAsia="zh-CN"/>
              </w:rPr>
              <w:t>4</w:t>
            </w:r>
            <w:r>
              <w:rPr>
                <w:rFonts w:hint="eastAsia"/>
                <w:color w:val="auto"/>
                <w:kern w:val="0"/>
                <w:szCs w:val="21"/>
                <w:lang w:val="en-US" w:eastAsia="zh-CN"/>
              </w:rPr>
              <w:t>、与《陕西省生态环境厅关于加强部分涉水生态类项目环境影响评价管理工作的通知》（陕环发﹝</w:t>
            </w:r>
            <w:r>
              <w:rPr>
                <w:rFonts w:hint="default"/>
                <w:color w:val="auto"/>
                <w:kern w:val="0"/>
                <w:szCs w:val="21"/>
                <w:lang w:val="en-US" w:eastAsia="zh-CN"/>
              </w:rPr>
              <w:t>2019</w:t>
            </w:r>
            <w:r>
              <w:rPr>
                <w:rFonts w:hint="eastAsia"/>
                <w:color w:val="auto"/>
                <w:kern w:val="0"/>
                <w:szCs w:val="21"/>
                <w:lang w:val="en-US" w:eastAsia="zh-CN"/>
              </w:rPr>
              <w:t>﹞</w:t>
            </w:r>
            <w:r>
              <w:rPr>
                <w:rFonts w:hint="default"/>
                <w:color w:val="auto"/>
                <w:kern w:val="0"/>
                <w:szCs w:val="21"/>
                <w:lang w:val="en-US" w:eastAsia="zh-CN"/>
              </w:rPr>
              <w:t>15</w:t>
            </w:r>
            <w:r>
              <w:rPr>
                <w:rFonts w:hint="eastAsia"/>
                <w:color w:val="auto"/>
                <w:kern w:val="0"/>
                <w:szCs w:val="21"/>
                <w:lang w:val="en-US" w:eastAsia="zh-CN"/>
              </w:rPr>
              <w:t>号）相符性分析</w:t>
            </w:r>
          </w:p>
          <w:p>
            <w:pPr>
              <w:autoSpaceDE w:val="0"/>
              <w:autoSpaceDN w:val="0"/>
              <w:adjustRightInd w:val="0"/>
              <w:snapToGrid w:val="0"/>
              <w:spacing w:line="360" w:lineRule="auto"/>
              <w:ind w:firstLine="420" w:firstLineChars="200"/>
              <w:jc w:val="left"/>
              <w:rPr>
                <w:rFonts w:hint="eastAsia" w:eastAsia="宋体"/>
                <w:color w:val="auto"/>
                <w:lang w:eastAsia="zh-CN"/>
              </w:rPr>
            </w:pPr>
            <w:r>
              <w:rPr>
                <w:rFonts w:hint="eastAsia"/>
                <w:color w:val="auto"/>
                <w:lang w:eastAsia="zh-CN"/>
              </w:rPr>
              <w:t>本项目与</w:t>
            </w:r>
            <w:r>
              <w:rPr>
                <w:rFonts w:hint="eastAsia"/>
                <w:color w:val="auto"/>
                <w:kern w:val="0"/>
                <w:szCs w:val="21"/>
                <w:lang w:val="en-US" w:eastAsia="zh-CN"/>
              </w:rPr>
              <w:t>陕环发﹝</w:t>
            </w:r>
            <w:r>
              <w:rPr>
                <w:rFonts w:hint="default"/>
                <w:color w:val="auto"/>
                <w:kern w:val="0"/>
                <w:szCs w:val="21"/>
                <w:lang w:val="en-US" w:eastAsia="zh-CN"/>
              </w:rPr>
              <w:t>2019</w:t>
            </w:r>
            <w:r>
              <w:rPr>
                <w:rFonts w:hint="eastAsia"/>
                <w:color w:val="auto"/>
                <w:kern w:val="0"/>
                <w:szCs w:val="21"/>
                <w:lang w:val="en-US" w:eastAsia="zh-CN"/>
              </w:rPr>
              <w:t>﹞</w:t>
            </w:r>
            <w:r>
              <w:rPr>
                <w:rFonts w:hint="default"/>
                <w:color w:val="auto"/>
                <w:kern w:val="0"/>
                <w:szCs w:val="21"/>
                <w:lang w:val="en-US" w:eastAsia="zh-CN"/>
              </w:rPr>
              <w:t>15</w:t>
            </w:r>
            <w:r>
              <w:rPr>
                <w:rFonts w:hint="eastAsia"/>
                <w:color w:val="auto"/>
                <w:kern w:val="0"/>
                <w:szCs w:val="21"/>
                <w:lang w:val="en-US" w:eastAsia="zh-CN"/>
              </w:rPr>
              <w:t>号相符性分析，见表1-5。</w:t>
            </w:r>
          </w:p>
          <w:p>
            <w:pPr>
              <w:keepNext w:val="0"/>
              <w:keepLines w:val="0"/>
              <w:widowControl/>
              <w:suppressLineNumbers w:val="0"/>
              <w:jc w:val="center"/>
              <w:rPr>
                <w:color w:val="auto"/>
              </w:rPr>
            </w:pPr>
            <w:r>
              <w:rPr>
                <w:rFonts w:ascii="黑体" w:hAnsi="宋体" w:eastAsia="黑体" w:cs="黑体"/>
                <w:color w:val="auto"/>
                <w:kern w:val="0"/>
                <w:sz w:val="21"/>
                <w:szCs w:val="21"/>
                <w:lang w:val="en-US" w:eastAsia="zh-CN" w:bidi="ar"/>
              </w:rPr>
              <w:t>表</w:t>
            </w:r>
            <w:r>
              <w:rPr>
                <w:rFonts w:hint="default" w:ascii="Times New Roman" w:hAnsi="Times New Roman" w:eastAsia="宋体" w:cs="Times New Roman"/>
                <w:color w:val="auto"/>
                <w:kern w:val="0"/>
                <w:sz w:val="21"/>
                <w:szCs w:val="21"/>
                <w:lang w:val="en-US" w:eastAsia="zh-CN" w:bidi="ar"/>
              </w:rPr>
              <w:t>1-</w:t>
            </w:r>
            <w:r>
              <w:rPr>
                <w:rFonts w:hint="eastAsia" w:cs="Times New Roman"/>
                <w:color w:val="auto"/>
                <w:kern w:val="0"/>
                <w:sz w:val="21"/>
                <w:szCs w:val="21"/>
                <w:lang w:val="en-US" w:eastAsia="zh-CN" w:bidi="ar"/>
              </w:rPr>
              <w:t xml:space="preserve">5 </w:t>
            </w:r>
            <w:r>
              <w:rPr>
                <w:rFonts w:hint="default" w:ascii="Times New Roman" w:hAnsi="Times New Roman" w:eastAsia="宋体" w:cs="Times New Roman"/>
                <w:color w:val="auto"/>
                <w:kern w:val="0"/>
                <w:sz w:val="21"/>
                <w:szCs w:val="21"/>
                <w:lang w:val="en-US" w:eastAsia="zh-CN" w:bidi="ar"/>
              </w:rPr>
              <w:t xml:space="preserve"> </w:t>
            </w:r>
            <w:r>
              <w:rPr>
                <w:rFonts w:hint="eastAsia" w:ascii="黑体" w:hAnsi="宋体" w:eastAsia="黑体" w:cs="黑体"/>
                <w:color w:val="auto"/>
                <w:kern w:val="0"/>
                <w:sz w:val="21"/>
                <w:szCs w:val="21"/>
                <w:lang w:val="en-US" w:eastAsia="zh-CN" w:bidi="ar"/>
              </w:rPr>
              <w:t>本项目与涉水生态类项目环境影响评价管理工作符合性分析</w:t>
            </w:r>
          </w:p>
          <w:tbl>
            <w:tblPr>
              <w:tblStyle w:val="19"/>
              <w:tblW w:w="7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2942"/>
              <w:gridCol w:w="1675"/>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dxa"/>
                  <w:vAlign w:val="center"/>
                </w:tcPr>
                <w:p>
                  <w:pPr>
                    <w:pStyle w:val="4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文件</w:t>
                  </w:r>
                </w:p>
              </w:tc>
              <w:tc>
                <w:tcPr>
                  <w:tcW w:w="2942" w:type="dxa"/>
                  <w:vAlign w:val="center"/>
                </w:tcPr>
                <w:p>
                  <w:pPr>
                    <w:keepNext w:val="0"/>
                    <w:keepLines w:val="0"/>
                    <w:widowControl/>
                    <w:suppressLineNumbers w:val="0"/>
                    <w:jc w:val="center"/>
                    <w:rPr>
                      <w:color w:val="auto"/>
                      <w:sz w:val="21"/>
                      <w:szCs w:val="21"/>
                      <w:vertAlign w:val="baseline"/>
                      <w:lang w:val="en-US"/>
                    </w:rPr>
                  </w:pPr>
                  <w:r>
                    <w:rPr>
                      <w:rFonts w:hint="eastAsia" w:ascii="宋体" w:hAnsi="宋体" w:eastAsia="宋体" w:cs="宋体"/>
                      <w:b/>
                      <w:bCs/>
                      <w:color w:val="auto"/>
                      <w:kern w:val="0"/>
                      <w:sz w:val="21"/>
                      <w:szCs w:val="21"/>
                      <w:lang w:val="en-US" w:eastAsia="zh-CN" w:bidi="ar"/>
                    </w:rPr>
                    <w:t>要求</w:t>
                  </w:r>
                </w:p>
              </w:tc>
              <w:tc>
                <w:tcPr>
                  <w:tcW w:w="1675" w:type="dxa"/>
                  <w:vAlign w:val="center"/>
                </w:tcPr>
                <w:p>
                  <w:pPr>
                    <w:keepNext w:val="0"/>
                    <w:keepLines w:val="0"/>
                    <w:widowControl/>
                    <w:suppressLineNumbers w:val="0"/>
                    <w:jc w:val="center"/>
                    <w:rPr>
                      <w:color w:val="auto"/>
                      <w:sz w:val="21"/>
                      <w:szCs w:val="21"/>
                      <w:vertAlign w:val="baseline"/>
                      <w:lang w:val="en-US"/>
                    </w:rPr>
                  </w:pPr>
                  <w:r>
                    <w:rPr>
                      <w:rFonts w:hint="eastAsia" w:ascii="宋体" w:hAnsi="宋体" w:eastAsia="宋体" w:cs="宋体"/>
                      <w:b/>
                      <w:bCs/>
                      <w:color w:val="auto"/>
                      <w:kern w:val="0"/>
                      <w:sz w:val="21"/>
                      <w:szCs w:val="21"/>
                      <w:lang w:val="en-US" w:eastAsia="zh-CN" w:bidi="ar"/>
                    </w:rPr>
                    <w:t>本项目情况</w:t>
                  </w:r>
                </w:p>
              </w:tc>
              <w:tc>
                <w:tcPr>
                  <w:tcW w:w="919" w:type="dxa"/>
                  <w:vAlign w:val="center"/>
                </w:tcPr>
                <w:p>
                  <w:pPr>
                    <w:pStyle w:val="4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dxa"/>
                  <w:vAlign w:val="center"/>
                </w:tcPr>
                <w:p>
                  <w:pPr>
                    <w:keepNext w:val="0"/>
                    <w:keepLines w:val="0"/>
                    <w:widowControl/>
                    <w:suppressLineNumbers w:val="0"/>
                    <w:jc w:val="center"/>
                    <w:rPr>
                      <w:color w:val="auto"/>
                      <w:sz w:val="21"/>
                      <w:szCs w:val="21"/>
                      <w:vertAlign w:val="baseline"/>
                      <w:lang w:val="en-US"/>
                    </w:rPr>
                  </w:pPr>
                  <w:r>
                    <w:rPr>
                      <w:rFonts w:hint="eastAsia" w:ascii="宋体" w:hAnsi="宋体" w:eastAsia="宋体" w:cs="宋体"/>
                      <w:color w:val="auto"/>
                      <w:kern w:val="0"/>
                      <w:sz w:val="21"/>
                      <w:szCs w:val="21"/>
                      <w:lang w:val="en-US" w:eastAsia="zh-CN" w:bidi="ar"/>
                    </w:rPr>
                    <w:t>《陕西省态环境厅关于加强部分涉水生态类项目环境影响评价管理工作的通知》（陕环发﹝</w:t>
                  </w:r>
                  <w:r>
                    <w:rPr>
                      <w:rFonts w:hint="default" w:ascii="宋体" w:hAnsi="宋体" w:eastAsia="宋体" w:cs="宋体"/>
                      <w:color w:val="auto"/>
                      <w:kern w:val="0"/>
                      <w:sz w:val="21"/>
                      <w:szCs w:val="21"/>
                      <w:lang w:val="en-US" w:eastAsia="zh-CN" w:bidi="ar"/>
                    </w:rPr>
                    <w:t>2019</w:t>
                  </w:r>
                  <w:r>
                    <w:rPr>
                      <w:rFonts w:hint="eastAsia" w:ascii="宋体" w:hAnsi="宋体" w:eastAsia="宋体" w:cs="宋体"/>
                      <w:color w:val="auto"/>
                      <w:kern w:val="0"/>
                      <w:sz w:val="21"/>
                      <w:szCs w:val="21"/>
                      <w:lang w:val="en-US" w:eastAsia="zh-CN" w:bidi="ar"/>
                    </w:rPr>
                    <w:t>﹞</w:t>
                  </w:r>
                  <w:r>
                    <w:rPr>
                      <w:rFonts w:hint="default" w:ascii="宋体" w:hAnsi="宋体" w:eastAsia="宋体" w:cs="宋体"/>
                      <w:color w:val="auto"/>
                      <w:kern w:val="0"/>
                      <w:sz w:val="21"/>
                      <w:szCs w:val="21"/>
                      <w:lang w:val="en-US" w:eastAsia="zh-CN" w:bidi="ar"/>
                    </w:rPr>
                    <w:t>15</w:t>
                  </w:r>
                  <w:r>
                    <w:rPr>
                      <w:rFonts w:hint="eastAsia" w:ascii="宋体" w:hAnsi="宋体" w:eastAsia="宋体" w:cs="宋体"/>
                      <w:color w:val="auto"/>
                      <w:kern w:val="0"/>
                      <w:sz w:val="21"/>
                      <w:szCs w:val="21"/>
                      <w:lang w:val="en-US" w:eastAsia="zh-CN" w:bidi="ar"/>
                    </w:rPr>
                    <w:t>号）</w:t>
                  </w:r>
                </w:p>
              </w:tc>
              <w:tc>
                <w:tcPr>
                  <w:tcW w:w="2942"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r>
                    <w:rPr>
                      <w:rFonts w:hint="eastAsia" w:ascii="宋体" w:hAnsi="宋体" w:eastAsia="宋体" w:cs="宋体"/>
                      <w:color w:val="auto"/>
                      <w:kern w:val="0"/>
                      <w:sz w:val="21"/>
                      <w:szCs w:val="21"/>
                      <w:lang w:val="en-US" w:eastAsia="zh-CN" w:bidi="ar"/>
                    </w:rPr>
                    <w:t>二、明确环境准入，严格环评审批工作</w:t>
                  </w:r>
                  <w:r>
                    <w:rPr>
                      <w:rFonts w:hint="eastAsia" w:ascii="宋体" w:hAnsi="宋体" w:cs="宋体"/>
                      <w:color w:val="auto"/>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color w:val="auto"/>
                      <w:sz w:val="21"/>
                      <w:szCs w:val="21"/>
                      <w:vertAlign w:val="baseline"/>
                      <w:lang w:val="en-US"/>
                    </w:rPr>
                  </w:pPr>
                  <w:r>
                    <w:rPr>
                      <w:rFonts w:hint="eastAsia" w:ascii="宋体" w:hAnsi="宋体" w:eastAsia="宋体" w:cs="宋体"/>
                      <w:color w:val="auto"/>
                      <w:kern w:val="0"/>
                      <w:sz w:val="21"/>
                      <w:szCs w:val="21"/>
                      <w:lang w:val="en-US" w:eastAsia="zh-CN" w:bidi="ar"/>
                    </w:rPr>
                    <w:t>（二）河湖整治与防洪除涝工程类项目，应满足流域综合治理规划、防洪规划、生态环境保护等相关规划及规划环评要求，不得巧立名目，在河道综合治理建设项目环评文件中搭车与治理无关的其他建设内容。确需建设滨河公园、湿地公园等的，应单独办理环评手续，以水环境保护为重点，全面分析论证项目建设必要性和环境可行性，不得随意采取改变河道形态、建设橡胶坝等形式打造城市景观。</w:t>
                  </w:r>
                </w:p>
              </w:tc>
              <w:tc>
                <w:tcPr>
                  <w:tcW w:w="1675" w:type="dxa"/>
                  <w:vAlign w:val="center"/>
                </w:tcPr>
                <w:p>
                  <w:pPr>
                    <w:keepNext w:val="0"/>
                    <w:keepLines w:val="0"/>
                    <w:widowControl/>
                    <w:suppressLineNumbers w:val="0"/>
                    <w:jc w:val="center"/>
                    <w:rPr>
                      <w:color w:val="auto"/>
                      <w:sz w:val="21"/>
                      <w:szCs w:val="21"/>
                      <w:vertAlign w:val="baseline"/>
                      <w:lang w:val="en-US"/>
                    </w:rPr>
                  </w:pPr>
                  <w:r>
                    <w:rPr>
                      <w:rFonts w:hint="eastAsia" w:ascii="宋体" w:hAnsi="宋体" w:eastAsia="宋体" w:cs="宋体"/>
                      <w:color w:val="auto"/>
                      <w:kern w:val="0"/>
                      <w:sz w:val="21"/>
                      <w:szCs w:val="21"/>
                      <w:lang w:val="en-US" w:eastAsia="zh-CN" w:bidi="ar"/>
                    </w:rPr>
                    <w:t>本项目防洪工程位于</w:t>
                  </w:r>
                  <w:r>
                    <w:rPr>
                      <w:rFonts w:hint="eastAsia" w:ascii="宋体" w:hAnsi="宋体" w:cs="宋体"/>
                      <w:color w:val="auto"/>
                      <w:kern w:val="0"/>
                      <w:sz w:val="21"/>
                      <w:szCs w:val="21"/>
                      <w:lang w:val="en-US" w:eastAsia="zh-CN" w:bidi="ar"/>
                    </w:rPr>
                    <w:t>岚</w:t>
                  </w:r>
                  <w:r>
                    <w:rPr>
                      <w:rFonts w:hint="eastAsia" w:ascii="宋体" w:hAnsi="宋体" w:eastAsia="宋体" w:cs="宋体"/>
                      <w:color w:val="auto"/>
                      <w:kern w:val="0"/>
                      <w:sz w:val="21"/>
                      <w:szCs w:val="21"/>
                      <w:lang w:val="en-US" w:eastAsia="zh-CN" w:bidi="ar"/>
                    </w:rPr>
                    <w:t>河，工程主要内容为堤防</w:t>
                  </w:r>
                  <w:r>
                    <w:rPr>
                      <w:rFonts w:hint="eastAsia" w:ascii="宋体" w:hAnsi="宋体" w:cs="宋体"/>
                      <w:color w:val="auto"/>
                      <w:kern w:val="0"/>
                      <w:sz w:val="21"/>
                      <w:szCs w:val="21"/>
                      <w:lang w:val="en-US" w:eastAsia="zh-CN" w:bidi="ar"/>
                    </w:rPr>
                    <w:t>及附属配套</w:t>
                  </w:r>
                  <w:r>
                    <w:rPr>
                      <w:rFonts w:hint="eastAsia" w:ascii="宋体" w:hAnsi="宋体" w:eastAsia="宋体" w:cs="宋体"/>
                      <w:color w:val="auto"/>
                      <w:kern w:val="0"/>
                      <w:sz w:val="21"/>
                      <w:szCs w:val="21"/>
                      <w:lang w:val="en-US" w:eastAsia="zh-CN" w:bidi="ar"/>
                    </w:rPr>
                    <w:t>排水口、下河踏步等工程，不存在无关的其它内容。本项目符合《陕西省“十四五”水利发展规划》</w:t>
                  </w:r>
                </w:p>
              </w:tc>
              <w:tc>
                <w:tcPr>
                  <w:tcW w:w="919" w:type="dxa"/>
                  <w:vAlign w:val="center"/>
                </w:tcPr>
                <w:p>
                  <w:pPr>
                    <w:pStyle w:val="4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符合</w:t>
                  </w:r>
                </w:p>
              </w:tc>
            </w:tr>
          </w:tbl>
          <w:p>
            <w:pPr>
              <w:pStyle w:val="40"/>
              <w:ind w:firstLine="420"/>
              <w:rPr>
                <w:color w:val="auto"/>
                <w:sz w:val="21"/>
                <w:szCs w:val="21"/>
              </w:rPr>
            </w:pPr>
            <w:r>
              <w:rPr>
                <w:rFonts w:hint="eastAsia"/>
                <w:color w:val="auto"/>
                <w:sz w:val="21"/>
                <w:szCs w:val="21"/>
                <w:lang w:val="en-US" w:eastAsia="zh-CN"/>
              </w:rPr>
              <w:t>5</w:t>
            </w:r>
            <w:r>
              <w:rPr>
                <w:color w:val="auto"/>
                <w:sz w:val="21"/>
                <w:szCs w:val="21"/>
                <w:lang w:val="en-US"/>
              </w:rPr>
              <w:t>、项目与相关</w:t>
            </w:r>
            <w:r>
              <w:rPr>
                <w:rFonts w:hint="eastAsia"/>
                <w:color w:val="auto"/>
                <w:sz w:val="21"/>
                <w:szCs w:val="21"/>
                <w:lang w:val="en-US" w:eastAsia="zh-CN"/>
              </w:rPr>
              <w:t>文件</w:t>
            </w:r>
            <w:r>
              <w:rPr>
                <w:color w:val="auto"/>
                <w:sz w:val="21"/>
                <w:szCs w:val="21"/>
                <w:lang w:val="en-US"/>
              </w:rPr>
              <w:t xml:space="preserve">相符性分析 </w:t>
            </w:r>
          </w:p>
          <w:p>
            <w:pPr>
              <w:pStyle w:val="40"/>
              <w:ind w:firstLine="420"/>
              <w:rPr>
                <w:rFonts w:hint="default" w:eastAsia="宋体"/>
                <w:color w:val="auto"/>
                <w:sz w:val="21"/>
                <w:szCs w:val="21"/>
                <w:lang w:val="en-US" w:eastAsia="zh-CN"/>
              </w:rPr>
            </w:pPr>
            <w:r>
              <w:rPr>
                <w:color w:val="auto"/>
                <w:sz w:val="21"/>
                <w:szCs w:val="21"/>
                <w:lang w:val="en-US"/>
              </w:rPr>
              <w:t>项目与相关</w:t>
            </w:r>
            <w:r>
              <w:rPr>
                <w:rFonts w:hint="eastAsia"/>
                <w:color w:val="auto"/>
                <w:sz w:val="21"/>
                <w:szCs w:val="21"/>
                <w:lang w:val="en-US" w:eastAsia="zh-CN"/>
              </w:rPr>
              <w:t>文件</w:t>
            </w:r>
            <w:r>
              <w:rPr>
                <w:color w:val="auto"/>
                <w:sz w:val="21"/>
                <w:szCs w:val="21"/>
                <w:lang w:val="en-US"/>
              </w:rPr>
              <w:t>符合性分析见表</w:t>
            </w:r>
            <w:r>
              <w:rPr>
                <w:rFonts w:hint="eastAsia"/>
                <w:color w:val="auto"/>
                <w:sz w:val="21"/>
                <w:szCs w:val="21"/>
                <w:lang w:val="en-US" w:eastAsia="zh-CN"/>
              </w:rPr>
              <w:t>1-6</w:t>
            </w:r>
          </w:p>
          <w:p>
            <w:pPr>
              <w:autoSpaceDE w:val="0"/>
              <w:autoSpaceDN w:val="0"/>
              <w:adjustRightInd w:val="0"/>
              <w:snapToGrid w:val="0"/>
              <w:jc w:val="center"/>
              <w:rPr>
                <w:rFonts w:eastAsia="黑体"/>
                <w:color w:val="auto"/>
                <w:kern w:val="0"/>
                <w:szCs w:val="21"/>
              </w:rPr>
            </w:pPr>
            <w:r>
              <w:rPr>
                <w:rFonts w:eastAsia="黑体"/>
                <w:color w:val="auto"/>
                <w:kern w:val="0"/>
                <w:szCs w:val="21"/>
              </w:rPr>
              <w:t>表</w:t>
            </w:r>
            <w:r>
              <w:rPr>
                <w:rFonts w:hint="eastAsia" w:eastAsia="黑体"/>
                <w:color w:val="auto"/>
                <w:kern w:val="0"/>
                <w:szCs w:val="21"/>
                <w:lang w:val="en-US" w:eastAsia="zh-CN"/>
              </w:rPr>
              <w:t xml:space="preserve">1-6 </w:t>
            </w:r>
            <w:r>
              <w:rPr>
                <w:rFonts w:eastAsia="黑体"/>
                <w:color w:val="auto"/>
                <w:kern w:val="0"/>
                <w:szCs w:val="21"/>
              </w:rPr>
              <w:t xml:space="preserve"> 项目与相关规划符合性分析表</w:t>
            </w:r>
          </w:p>
          <w:tbl>
            <w:tblPr>
              <w:tblStyle w:val="19"/>
              <w:tblW w:w="7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521"/>
              <w:gridCol w:w="2590"/>
              <w:gridCol w:w="1701"/>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Align w:val="center"/>
                </w:tcPr>
                <w:p>
                  <w:pPr>
                    <w:pStyle w:val="9"/>
                    <w:spacing w:line="240" w:lineRule="auto"/>
                    <w:ind w:left="0" w:leftChars="0"/>
                    <w:jc w:val="center"/>
                    <w:rPr>
                      <w:color w:val="auto"/>
                      <w:szCs w:val="21"/>
                    </w:rPr>
                  </w:pPr>
                  <w:r>
                    <w:rPr>
                      <w:color w:val="auto"/>
                      <w:szCs w:val="21"/>
                    </w:rPr>
                    <w:t>序号</w:t>
                  </w:r>
                </w:p>
              </w:tc>
              <w:tc>
                <w:tcPr>
                  <w:tcW w:w="1521" w:type="dxa"/>
                  <w:vAlign w:val="center"/>
                </w:tcPr>
                <w:p>
                  <w:pPr>
                    <w:widowControl/>
                    <w:jc w:val="center"/>
                    <w:rPr>
                      <w:rFonts w:hint="eastAsia" w:eastAsia="宋体"/>
                      <w:color w:val="auto"/>
                      <w:szCs w:val="21"/>
                      <w:lang w:eastAsia="zh-CN"/>
                    </w:rPr>
                  </w:pPr>
                  <w:r>
                    <w:rPr>
                      <w:color w:val="auto"/>
                      <w:kern w:val="0"/>
                      <w:szCs w:val="21"/>
                      <w:lang w:bidi="ar"/>
                    </w:rPr>
                    <w:t>相关</w:t>
                  </w:r>
                  <w:r>
                    <w:rPr>
                      <w:rFonts w:hint="eastAsia"/>
                      <w:color w:val="auto"/>
                      <w:kern w:val="0"/>
                      <w:szCs w:val="21"/>
                      <w:lang w:eastAsia="zh-CN" w:bidi="ar"/>
                    </w:rPr>
                    <w:t>文件</w:t>
                  </w:r>
                </w:p>
              </w:tc>
              <w:tc>
                <w:tcPr>
                  <w:tcW w:w="2590" w:type="dxa"/>
                  <w:vAlign w:val="center"/>
                </w:tcPr>
                <w:p>
                  <w:pPr>
                    <w:widowControl/>
                    <w:jc w:val="center"/>
                    <w:rPr>
                      <w:color w:val="auto"/>
                      <w:szCs w:val="21"/>
                    </w:rPr>
                  </w:pPr>
                  <w:r>
                    <w:rPr>
                      <w:rFonts w:hint="eastAsia"/>
                      <w:color w:val="auto"/>
                      <w:kern w:val="0"/>
                      <w:szCs w:val="21"/>
                      <w:lang w:eastAsia="zh-CN" w:bidi="ar"/>
                    </w:rPr>
                    <w:t>文件</w:t>
                  </w:r>
                  <w:r>
                    <w:rPr>
                      <w:color w:val="auto"/>
                      <w:kern w:val="0"/>
                      <w:szCs w:val="21"/>
                      <w:lang w:bidi="ar"/>
                    </w:rPr>
                    <w:t>内容</w:t>
                  </w:r>
                </w:p>
              </w:tc>
              <w:tc>
                <w:tcPr>
                  <w:tcW w:w="1701" w:type="dxa"/>
                  <w:vAlign w:val="center"/>
                </w:tcPr>
                <w:p>
                  <w:pPr>
                    <w:widowControl/>
                    <w:jc w:val="center"/>
                    <w:rPr>
                      <w:color w:val="auto"/>
                      <w:szCs w:val="21"/>
                    </w:rPr>
                  </w:pPr>
                  <w:r>
                    <w:rPr>
                      <w:color w:val="auto"/>
                      <w:kern w:val="0"/>
                      <w:szCs w:val="21"/>
                      <w:lang w:bidi="ar"/>
                    </w:rPr>
                    <w:t>本项目情况</w:t>
                  </w:r>
                </w:p>
              </w:tc>
              <w:tc>
                <w:tcPr>
                  <w:tcW w:w="736" w:type="dxa"/>
                  <w:vAlign w:val="center"/>
                </w:tcPr>
                <w:p>
                  <w:pPr>
                    <w:widowControl/>
                    <w:jc w:val="center"/>
                    <w:rPr>
                      <w:color w:val="auto"/>
                      <w:szCs w:val="21"/>
                    </w:rPr>
                  </w:pPr>
                  <w:r>
                    <w:rPr>
                      <w:color w:val="auto"/>
                      <w:kern w:val="0"/>
                      <w:szCs w:val="21"/>
                      <w:lang w:bidi="ar"/>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Align w:val="center"/>
                </w:tcPr>
                <w:p>
                  <w:pPr>
                    <w:jc w:val="center"/>
                    <w:rPr>
                      <w:color w:val="auto"/>
                      <w:szCs w:val="21"/>
                    </w:rPr>
                  </w:pPr>
                  <w:r>
                    <w:rPr>
                      <w:color w:val="auto"/>
                      <w:szCs w:val="21"/>
                    </w:rPr>
                    <w:t>1</w:t>
                  </w:r>
                </w:p>
              </w:tc>
              <w:tc>
                <w:tcPr>
                  <w:tcW w:w="1521" w:type="dxa"/>
                  <w:vAlign w:val="center"/>
                </w:tcPr>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《全国中小河流治理和病险水库除险加固、山洪地质灾害防御和综合治理总 </w:t>
                  </w:r>
                </w:p>
                <w:p>
                  <w:pPr>
                    <w:keepNext w:val="0"/>
                    <w:keepLines w:val="0"/>
                    <w:widowControl/>
                    <w:suppressLineNumbers w:val="0"/>
                    <w:jc w:val="left"/>
                    <w:rPr>
                      <w:color w:val="auto"/>
                      <w:szCs w:val="21"/>
                    </w:rPr>
                  </w:pPr>
                  <w:r>
                    <w:rPr>
                      <w:rFonts w:hint="eastAsia" w:ascii="宋体" w:hAnsi="宋体" w:eastAsia="宋体" w:cs="宋体"/>
                      <w:color w:val="auto"/>
                      <w:kern w:val="0"/>
                      <w:sz w:val="21"/>
                      <w:szCs w:val="21"/>
                      <w:lang w:val="en-US" w:eastAsia="zh-CN" w:bidi="ar"/>
                    </w:rPr>
                    <w:t>体规划</w:t>
                  </w:r>
                  <w:r>
                    <w:rPr>
                      <w:color w:val="auto"/>
                      <w:kern w:val="0"/>
                      <w:szCs w:val="21"/>
                      <w:lang w:bidi="ar"/>
                    </w:rPr>
                    <w:t>》</w:t>
                  </w:r>
                </w:p>
              </w:tc>
              <w:tc>
                <w:tcPr>
                  <w:tcW w:w="2590" w:type="dxa"/>
                  <w:vAlign w:val="center"/>
                </w:tcPr>
                <w:p>
                  <w:pPr>
                    <w:keepNext w:val="0"/>
                    <w:keepLines w:val="0"/>
                    <w:widowControl/>
                    <w:suppressLineNumbers w:val="0"/>
                    <w:jc w:val="left"/>
                    <w:rPr>
                      <w:color w:val="auto"/>
                      <w:szCs w:val="21"/>
                    </w:rPr>
                  </w:pPr>
                  <w:r>
                    <w:rPr>
                      <w:rFonts w:hint="eastAsia" w:ascii="宋体" w:hAnsi="宋体" w:eastAsia="宋体" w:cs="宋体"/>
                      <w:color w:val="auto"/>
                      <w:kern w:val="0"/>
                      <w:sz w:val="21"/>
                      <w:szCs w:val="21"/>
                      <w:lang w:val="en-US" w:eastAsia="zh-CN" w:bidi="ar"/>
                    </w:rPr>
                    <w:t>包括长江流域的乌江、汉江、湖南四水、江西五河、四川五江一河、湖北荆南四河、青弋江、水阳江、滁河等</w:t>
                  </w:r>
                  <w:r>
                    <w:rPr>
                      <w:rFonts w:hint="default" w:ascii="Times New Roman" w:hAnsi="Times New Roman" w:eastAsia="宋体" w:cs="Times New Roman"/>
                      <w:color w:val="auto"/>
                      <w:kern w:val="0"/>
                      <w:sz w:val="21"/>
                      <w:szCs w:val="21"/>
                      <w:lang w:val="en-US" w:eastAsia="zh-CN" w:bidi="ar"/>
                    </w:rPr>
                    <w:t>24</w:t>
                  </w:r>
                  <w:r>
                    <w:rPr>
                      <w:rFonts w:hint="eastAsia" w:ascii="宋体" w:hAnsi="宋体" w:eastAsia="宋体" w:cs="宋体"/>
                      <w:color w:val="auto"/>
                      <w:kern w:val="0"/>
                      <w:sz w:val="21"/>
                      <w:szCs w:val="21"/>
                      <w:lang w:val="en-US" w:eastAsia="zh-CN" w:bidi="ar"/>
                    </w:rPr>
                    <w:t>条，主要建设内容为加高加固堤防（护岸）、河道整治（清除行洪障碍及清淤疏浚等。</w:t>
                  </w:r>
                </w:p>
              </w:tc>
              <w:tc>
                <w:tcPr>
                  <w:tcW w:w="1701" w:type="dxa"/>
                  <w:vAlign w:val="center"/>
                </w:tcPr>
                <w:p>
                  <w:pPr>
                    <w:keepNext w:val="0"/>
                    <w:keepLines w:val="0"/>
                    <w:widowControl/>
                    <w:suppressLineNumbers w:val="0"/>
                    <w:jc w:val="left"/>
                    <w:rPr>
                      <w:color w:val="auto"/>
                      <w:szCs w:val="21"/>
                    </w:rPr>
                  </w:pPr>
                  <w:r>
                    <w:rPr>
                      <w:rFonts w:hint="eastAsia" w:ascii="宋体" w:hAnsi="宋体" w:eastAsia="宋体" w:cs="宋体"/>
                      <w:color w:val="auto"/>
                      <w:kern w:val="0"/>
                      <w:sz w:val="21"/>
                      <w:szCs w:val="21"/>
                      <w:lang w:val="en-US" w:eastAsia="zh-CN" w:bidi="ar"/>
                    </w:rPr>
                    <w:t>本项目所在</w:t>
                  </w:r>
                  <w:r>
                    <w:rPr>
                      <w:rFonts w:hint="eastAsia" w:ascii="宋体" w:hAnsi="宋体" w:cs="宋体"/>
                      <w:color w:val="auto"/>
                      <w:kern w:val="0"/>
                      <w:sz w:val="21"/>
                      <w:szCs w:val="21"/>
                      <w:lang w:val="en-US" w:eastAsia="zh-CN" w:bidi="ar"/>
                    </w:rPr>
                    <w:t>岚河</w:t>
                  </w:r>
                  <w:r>
                    <w:rPr>
                      <w:rFonts w:hint="eastAsia" w:ascii="宋体" w:hAnsi="宋体" w:eastAsia="宋体" w:cs="宋体"/>
                      <w:color w:val="auto"/>
                      <w:kern w:val="0"/>
                      <w:sz w:val="21"/>
                      <w:szCs w:val="21"/>
                      <w:lang w:val="en-US" w:eastAsia="zh-CN" w:bidi="ar"/>
                    </w:rPr>
                    <w:t>为汉江的</w:t>
                  </w:r>
                  <w:r>
                    <w:rPr>
                      <w:rFonts w:hint="eastAsia" w:ascii="宋体" w:hAnsi="宋体" w:cs="宋体"/>
                      <w:color w:val="auto"/>
                      <w:kern w:val="0"/>
                      <w:sz w:val="21"/>
                      <w:szCs w:val="21"/>
                      <w:lang w:val="en-US" w:eastAsia="zh-CN" w:bidi="ar"/>
                    </w:rPr>
                    <w:t>一</w:t>
                  </w:r>
                  <w:r>
                    <w:rPr>
                      <w:rFonts w:hint="eastAsia" w:ascii="宋体" w:hAnsi="宋体" w:eastAsia="宋体" w:cs="宋体"/>
                      <w:color w:val="auto"/>
                      <w:kern w:val="0"/>
                      <w:sz w:val="21"/>
                      <w:szCs w:val="21"/>
                      <w:lang w:val="en-US" w:eastAsia="zh-CN" w:bidi="ar"/>
                    </w:rPr>
                    <w:t>级支流</w:t>
                  </w:r>
                  <w:r>
                    <w:rPr>
                      <w:rFonts w:hint="eastAsia" w:ascii="宋体" w:hAnsi="宋体" w:cs="宋体"/>
                      <w:color w:val="auto"/>
                      <w:kern w:val="0"/>
                      <w:sz w:val="21"/>
                      <w:szCs w:val="21"/>
                      <w:lang w:val="en-US" w:eastAsia="zh-CN" w:bidi="ar"/>
                    </w:rPr>
                    <w:t>、大盘河为</w:t>
                  </w:r>
                  <w:r>
                    <w:rPr>
                      <w:rFonts w:hint="eastAsia" w:ascii="宋体" w:hAnsi="宋体" w:eastAsia="宋体" w:cs="宋体"/>
                      <w:color w:val="auto"/>
                      <w:kern w:val="0"/>
                      <w:sz w:val="21"/>
                      <w:szCs w:val="21"/>
                      <w:lang w:val="en-US" w:eastAsia="zh-CN" w:bidi="ar"/>
                    </w:rPr>
                    <w:t>汉江的</w:t>
                  </w:r>
                  <w:r>
                    <w:rPr>
                      <w:rFonts w:hint="eastAsia" w:ascii="宋体" w:hAnsi="宋体" w:cs="宋体"/>
                      <w:color w:val="auto"/>
                      <w:kern w:val="0"/>
                      <w:sz w:val="21"/>
                      <w:szCs w:val="21"/>
                      <w:lang w:val="en-US" w:eastAsia="zh-CN" w:bidi="ar"/>
                    </w:rPr>
                    <w:t>二</w:t>
                  </w:r>
                  <w:r>
                    <w:rPr>
                      <w:rFonts w:hint="eastAsia" w:ascii="宋体" w:hAnsi="宋体" w:eastAsia="宋体" w:cs="宋体"/>
                      <w:color w:val="auto"/>
                      <w:kern w:val="0"/>
                      <w:sz w:val="21"/>
                      <w:szCs w:val="21"/>
                      <w:lang w:val="en-US" w:eastAsia="zh-CN" w:bidi="ar"/>
                    </w:rPr>
                    <w:t>级支流，工程主要任务是</w:t>
                  </w:r>
                  <w:r>
                    <w:rPr>
                      <w:rFonts w:hint="eastAsia" w:ascii="宋体" w:hAnsi="宋体" w:cs="宋体"/>
                      <w:color w:val="auto"/>
                      <w:kern w:val="0"/>
                      <w:sz w:val="21"/>
                      <w:szCs w:val="21"/>
                      <w:lang w:val="en-US" w:eastAsia="zh-CN" w:bidi="ar"/>
                    </w:rPr>
                    <w:t>防洪</w:t>
                  </w:r>
                  <w:r>
                    <w:rPr>
                      <w:rFonts w:hint="eastAsia" w:ascii="宋体" w:hAnsi="宋体" w:eastAsia="宋体" w:cs="宋体"/>
                      <w:color w:val="auto"/>
                      <w:kern w:val="0"/>
                      <w:sz w:val="21"/>
                      <w:szCs w:val="21"/>
                      <w:lang w:val="en-US" w:eastAsia="zh-CN" w:bidi="ar"/>
                    </w:rPr>
                    <w:t>堤防工程。</w:t>
                  </w:r>
                </w:p>
              </w:tc>
              <w:tc>
                <w:tcPr>
                  <w:tcW w:w="736" w:type="dxa"/>
                  <w:vAlign w:val="center"/>
                </w:tcPr>
                <w:p>
                  <w:pPr>
                    <w:widowControl/>
                    <w:jc w:val="center"/>
                    <w:rPr>
                      <w:color w:val="auto"/>
                      <w:szCs w:val="21"/>
                    </w:rPr>
                  </w:pPr>
                  <w:r>
                    <w:rPr>
                      <w:color w:val="auto"/>
                      <w:kern w:val="0"/>
                      <w:szCs w:val="21"/>
                      <w:lang w:bidi="ar"/>
                    </w:rPr>
                    <w:t>符合</w:t>
                  </w:r>
                </w:p>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Align w:val="center"/>
                </w:tcPr>
                <w:p>
                  <w:pPr>
                    <w:jc w:val="center"/>
                    <w:rPr>
                      <w:color w:val="auto"/>
                      <w:szCs w:val="21"/>
                    </w:rPr>
                  </w:pPr>
                  <w:r>
                    <w:rPr>
                      <w:color w:val="auto"/>
                      <w:szCs w:val="21"/>
                    </w:rPr>
                    <w:t>2</w:t>
                  </w:r>
                </w:p>
              </w:tc>
              <w:tc>
                <w:tcPr>
                  <w:tcW w:w="1521" w:type="dxa"/>
                  <w:vAlign w:val="center"/>
                </w:tcPr>
                <w:p>
                  <w:pPr>
                    <w:keepNext w:val="0"/>
                    <w:keepLines w:val="0"/>
                    <w:widowControl/>
                    <w:suppressLineNumbers w:val="0"/>
                    <w:jc w:val="left"/>
                    <w:rPr>
                      <w:color w:val="auto"/>
                      <w:szCs w:val="21"/>
                    </w:rPr>
                  </w:pPr>
                  <w:r>
                    <w:rPr>
                      <w:color w:val="auto"/>
                      <w:kern w:val="0"/>
                      <w:szCs w:val="21"/>
                      <w:lang w:bidi="ar"/>
                    </w:rPr>
                    <w:t>《</w:t>
                  </w:r>
                  <w:r>
                    <w:rPr>
                      <w:rFonts w:hint="eastAsia" w:ascii="宋体" w:hAnsi="宋体" w:eastAsia="宋体" w:cs="宋体"/>
                      <w:color w:val="auto"/>
                      <w:kern w:val="0"/>
                      <w:sz w:val="21"/>
                      <w:szCs w:val="21"/>
                      <w:lang w:val="en-US" w:eastAsia="zh-CN" w:bidi="ar"/>
                    </w:rPr>
                    <w:t>陕西省“十四五”水利发展规划</w:t>
                  </w:r>
                  <w:r>
                    <w:rPr>
                      <w:color w:val="auto"/>
                      <w:kern w:val="0"/>
                      <w:szCs w:val="21"/>
                      <w:lang w:bidi="ar"/>
                    </w:rPr>
                    <w:t>》</w:t>
                  </w:r>
                </w:p>
              </w:tc>
              <w:tc>
                <w:tcPr>
                  <w:tcW w:w="2590" w:type="dxa"/>
                  <w:vAlign w:val="center"/>
                </w:tcPr>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水旱灾害防御体系完善河流及城市防洪体系。基本建成东庄水利枢纽、榆林蒋家窑则水库；加快推进</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黄河古贤水利枢纽、延安龙安水库以及延安市城区、略阳县城、绥德县城防洪工程建设；加快黄河干流禹门口至潼关段综合</w:t>
                  </w:r>
                </w:p>
                <w:p>
                  <w:pPr>
                    <w:keepNext w:val="0"/>
                    <w:keepLines w:val="0"/>
                    <w:widowControl/>
                    <w:suppressLineNumbers w:val="0"/>
                    <w:jc w:val="left"/>
                    <w:rPr>
                      <w:color w:val="auto"/>
                      <w:szCs w:val="21"/>
                    </w:rPr>
                  </w:pPr>
                  <w:r>
                    <w:rPr>
                      <w:rFonts w:hint="eastAsia" w:ascii="宋体" w:hAnsi="宋体" w:eastAsia="宋体" w:cs="宋体"/>
                      <w:color w:val="auto"/>
                      <w:kern w:val="0"/>
                      <w:sz w:val="21"/>
                      <w:szCs w:val="21"/>
                      <w:lang w:val="en-US" w:eastAsia="zh-CN" w:bidi="ar"/>
                    </w:rPr>
                    <w:t>治理，推进渭河、汉江、无定河、延河等主要支流以及中小河流防洪治理；完善渭南二华蓄滞洪工程设施。加快推进榆林雷河咀水库前期工作。</w:t>
                  </w:r>
                </w:p>
              </w:tc>
              <w:tc>
                <w:tcPr>
                  <w:tcW w:w="1701" w:type="dxa"/>
                  <w:vAlign w:val="center"/>
                </w:tcPr>
                <w:p>
                  <w:pPr>
                    <w:keepNext w:val="0"/>
                    <w:keepLines w:val="0"/>
                    <w:widowControl/>
                    <w:suppressLineNumbers w:val="0"/>
                    <w:jc w:val="left"/>
                    <w:rPr>
                      <w:color w:val="auto"/>
                      <w:szCs w:val="21"/>
                    </w:rPr>
                  </w:pPr>
                  <w:r>
                    <w:rPr>
                      <w:rFonts w:hint="eastAsia" w:ascii="宋体" w:hAnsi="宋体" w:eastAsia="宋体" w:cs="宋体"/>
                      <w:color w:val="auto"/>
                      <w:kern w:val="0"/>
                      <w:sz w:val="21"/>
                      <w:szCs w:val="21"/>
                      <w:lang w:val="en-US" w:eastAsia="zh-CN" w:bidi="ar"/>
                    </w:rPr>
                    <w:t>本项目所在</w:t>
                  </w:r>
                  <w:r>
                    <w:rPr>
                      <w:rFonts w:hint="eastAsia" w:ascii="宋体" w:hAnsi="宋体" w:cs="宋体"/>
                      <w:color w:val="auto"/>
                      <w:kern w:val="0"/>
                      <w:sz w:val="21"/>
                      <w:szCs w:val="21"/>
                      <w:lang w:val="en-US" w:eastAsia="zh-CN" w:bidi="ar"/>
                    </w:rPr>
                    <w:t>岚河</w:t>
                  </w:r>
                  <w:r>
                    <w:rPr>
                      <w:rFonts w:hint="eastAsia" w:ascii="宋体" w:hAnsi="宋体" w:eastAsia="宋体" w:cs="宋体"/>
                      <w:color w:val="auto"/>
                      <w:kern w:val="0"/>
                      <w:sz w:val="21"/>
                      <w:szCs w:val="21"/>
                      <w:lang w:val="en-US" w:eastAsia="zh-CN" w:bidi="ar"/>
                    </w:rPr>
                    <w:t>为汉江的</w:t>
                  </w:r>
                  <w:r>
                    <w:rPr>
                      <w:rFonts w:hint="eastAsia" w:ascii="宋体" w:hAnsi="宋体" w:cs="宋体"/>
                      <w:color w:val="auto"/>
                      <w:kern w:val="0"/>
                      <w:sz w:val="21"/>
                      <w:szCs w:val="21"/>
                      <w:lang w:val="en-US" w:eastAsia="zh-CN" w:bidi="ar"/>
                    </w:rPr>
                    <w:t>一</w:t>
                  </w:r>
                  <w:r>
                    <w:rPr>
                      <w:rFonts w:hint="eastAsia" w:ascii="宋体" w:hAnsi="宋体" w:eastAsia="宋体" w:cs="宋体"/>
                      <w:color w:val="auto"/>
                      <w:kern w:val="0"/>
                      <w:sz w:val="21"/>
                      <w:szCs w:val="21"/>
                      <w:lang w:val="en-US" w:eastAsia="zh-CN" w:bidi="ar"/>
                    </w:rPr>
                    <w:t>级支流</w:t>
                  </w:r>
                  <w:r>
                    <w:rPr>
                      <w:rFonts w:hint="eastAsia" w:ascii="宋体" w:hAnsi="宋体" w:cs="宋体"/>
                      <w:color w:val="auto"/>
                      <w:kern w:val="0"/>
                      <w:sz w:val="21"/>
                      <w:szCs w:val="21"/>
                      <w:lang w:val="en-US" w:eastAsia="zh-CN" w:bidi="ar"/>
                    </w:rPr>
                    <w:t>、大盘河为</w:t>
                  </w:r>
                  <w:r>
                    <w:rPr>
                      <w:rFonts w:hint="eastAsia" w:ascii="宋体" w:hAnsi="宋体" w:eastAsia="宋体" w:cs="宋体"/>
                      <w:color w:val="auto"/>
                      <w:kern w:val="0"/>
                      <w:sz w:val="21"/>
                      <w:szCs w:val="21"/>
                      <w:lang w:val="en-US" w:eastAsia="zh-CN" w:bidi="ar"/>
                    </w:rPr>
                    <w:t>汉江的</w:t>
                  </w:r>
                  <w:r>
                    <w:rPr>
                      <w:rFonts w:hint="eastAsia" w:ascii="宋体" w:hAnsi="宋体" w:cs="宋体"/>
                      <w:color w:val="auto"/>
                      <w:kern w:val="0"/>
                      <w:sz w:val="21"/>
                      <w:szCs w:val="21"/>
                      <w:lang w:val="en-US" w:eastAsia="zh-CN" w:bidi="ar"/>
                    </w:rPr>
                    <w:t>二</w:t>
                  </w:r>
                  <w:r>
                    <w:rPr>
                      <w:rFonts w:hint="eastAsia" w:ascii="宋体" w:hAnsi="宋体" w:eastAsia="宋体" w:cs="宋体"/>
                      <w:color w:val="auto"/>
                      <w:kern w:val="0"/>
                      <w:sz w:val="21"/>
                      <w:szCs w:val="21"/>
                      <w:lang w:val="en-US" w:eastAsia="zh-CN" w:bidi="ar"/>
                    </w:rPr>
                    <w:t>级支流，工程主要任务是</w:t>
                  </w:r>
                  <w:r>
                    <w:rPr>
                      <w:rFonts w:hint="eastAsia" w:ascii="宋体" w:hAnsi="宋体" w:cs="宋体"/>
                      <w:color w:val="auto"/>
                      <w:kern w:val="0"/>
                      <w:sz w:val="21"/>
                      <w:szCs w:val="21"/>
                      <w:lang w:val="en-US" w:eastAsia="zh-CN" w:bidi="ar"/>
                    </w:rPr>
                    <w:t>防洪</w:t>
                  </w:r>
                  <w:r>
                    <w:rPr>
                      <w:rFonts w:hint="eastAsia" w:ascii="宋体" w:hAnsi="宋体" w:eastAsia="宋体" w:cs="宋体"/>
                      <w:color w:val="auto"/>
                      <w:kern w:val="0"/>
                      <w:sz w:val="21"/>
                      <w:szCs w:val="21"/>
                      <w:lang w:val="en-US" w:eastAsia="zh-CN" w:bidi="ar"/>
                    </w:rPr>
                    <w:t>堤防工程。</w:t>
                  </w:r>
                </w:p>
              </w:tc>
              <w:tc>
                <w:tcPr>
                  <w:tcW w:w="736" w:type="dxa"/>
                  <w:vAlign w:val="center"/>
                </w:tcPr>
                <w:p>
                  <w:pPr>
                    <w:widowControl/>
                    <w:jc w:val="center"/>
                    <w:rPr>
                      <w:color w:val="auto"/>
                      <w:szCs w:val="21"/>
                    </w:rPr>
                  </w:pPr>
                  <w:r>
                    <w:rPr>
                      <w:color w:val="auto"/>
                      <w:kern w:val="0"/>
                      <w:szCs w:val="21"/>
                      <w:lang w:bidi="ar"/>
                    </w:rPr>
                    <w:t>符合</w:t>
                  </w:r>
                </w:p>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restart"/>
                  <w:vAlign w:val="center"/>
                </w:tcPr>
                <w:p>
                  <w:pPr>
                    <w:jc w:val="center"/>
                    <w:rPr>
                      <w:color w:val="auto"/>
                      <w:szCs w:val="21"/>
                    </w:rPr>
                  </w:pPr>
                  <w:r>
                    <w:rPr>
                      <w:color w:val="auto"/>
                      <w:szCs w:val="21"/>
                    </w:rPr>
                    <w:t>3</w:t>
                  </w:r>
                </w:p>
              </w:tc>
              <w:tc>
                <w:tcPr>
                  <w:tcW w:w="1521" w:type="dxa"/>
                  <w:vMerge w:val="restart"/>
                  <w:vAlign w:val="center"/>
                </w:tcPr>
                <w:p>
                  <w:pPr>
                    <w:keepNext w:val="0"/>
                    <w:keepLines w:val="0"/>
                    <w:widowControl/>
                    <w:suppressLineNumbers w:val="0"/>
                    <w:jc w:val="left"/>
                    <w:rPr>
                      <w:color w:val="auto"/>
                      <w:szCs w:val="21"/>
                    </w:rPr>
                  </w:pPr>
                  <w:r>
                    <w:rPr>
                      <w:color w:val="auto"/>
                      <w:kern w:val="0"/>
                      <w:szCs w:val="21"/>
                      <w:lang w:bidi="ar"/>
                    </w:rPr>
                    <w:t>《</w:t>
                  </w:r>
                  <w:r>
                    <w:rPr>
                      <w:rFonts w:hint="eastAsia" w:ascii="宋体" w:hAnsi="宋体" w:eastAsia="宋体" w:cs="宋体"/>
                      <w:color w:val="auto"/>
                      <w:kern w:val="0"/>
                      <w:sz w:val="21"/>
                      <w:szCs w:val="21"/>
                      <w:lang w:val="en-US" w:eastAsia="zh-CN" w:bidi="ar"/>
                    </w:rPr>
                    <w:t>水利建设项目（河湖整治与防洪除涝工程）环境影响评价文件审批原则</w:t>
                  </w:r>
                  <w:r>
                    <w:rPr>
                      <w:color w:val="auto"/>
                      <w:kern w:val="0"/>
                      <w:szCs w:val="21"/>
                      <w:lang w:bidi="ar"/>
                    </w:rPr>
                    <w:t>》</w:t>
                  </w:r>
                </w:p>
              </w:tc>
              <w:tc>
                <w:tcPr>
                  <w:tcW w:w="2590" w:type="dxa"/>
                  <w:vAlign w:val="center"/>
                </w:tcPr>
                <w:p>
                  <w:pPr>
                    <w:keepNext w:val="0"/>
                    <w:keepLines w:val="0"/>
                    <w:widowControl/>
                    <w:suppressLineNumbers w:val="0"/>
                    <w:jc w:val="left"/>
                    <w:rPr>
                      <w:color w:val="auto"/>
                      <w:szCs w:val="21"/>
                    </w:rPr>
                  </w:pPr>
                  <w:r>
                    <w:rPr>
                      <w:rFonts w:hint="eastAsia" w:ascii="宋体" w:hAnsi="宋体" w:eastAsia="宋体" w:cs="宋体"/>
                      <w:color w:val="auto"/>
                      <w:kern w:val="0"/>
                      <w:sz w:val="21"/>
                      <w:szCs w:val="21"/>
                      <w:lang w:val="en-US" w:eastAsia="zh-CN" w:bidi="ar"/>
                    </w:rPr>
                    <w:t>第三条工程选址选线、施工布置原则上不占用自然保护区、风景名胜区、世界文化和自然遗产地以及其他生态保护红线等环境敏感区中法律法规禁止占用的区域并与饮用水水源保护区的保护要求相协调。</w:t>
                  </w:r>
                </w:p>
              </w:tc>
              <w:tc>
                <w:tcPr>
                  <w:tcW w:w="1701" w:type="dxa"/>
                  <w:vAlign w:val="center"/>
                </w:tcPr>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项目选线及施工布置不占用自然保护区、风景名 </w:t>
                  </w:r>
                </w:p>
                <w:p>
                  <w:pPr>
                    <w:keepNext w:val="0"/>
                    <w:keepLines w:val="0"/>
                    <w:widowControl/>
                    <w:suppressLineNumbers w:val="0"/>
                    <w:jc w:val="left"/>
                    <w:rPr>
                      <w:color w:val="auto"/>
                      <w:szCs w:val="21"/>
                    </w:rPr>
                  </w:pPr>
                  <w:r>
                    <w:rPr>
                      <w:rFonts w:hint="eastAsia" w:ascii="宋体" w:hAnsi="宋体" w:eastAsia="宋体" w:cs="宋体"/>
                      <w:color w:val="auto"/>
                      <w:kern w:val="0"/>
                      <w:sz w:val="21"/>
                      <w:szCs w:val="21"/>
                      <w:lang w:val="en-US" w:eastAsia="zh-CN" w:bidi="ar"/>
                    </w:rPr>
                    <w:t>胜区、世界文化和自然遗产地、饮用水源保护区以及其他生态保护红线等环境敏感区</w:t>
                  </w:r>
                </w:p>
              </w:tc>
              <w:tc>
                <w:tcPr>
                  <w:tcW w:w="736" w:type="dxa"/>
                  <w:vAlign w:val="center"/>
                </w:tcPr>
                <w:p>
                  <w:pPr>
                    <w:widowControl/>
                    <w:jc w:val="center"/>
                    <w:rPr>
                      <w:color w:val="auto"/>
                      <w:szCs w:val="21"/>
                    </w:rPr>
                  </w:pPr>
                  <w:r>
                    <w:rPr>
                      <w:color w:val="auto"/>
                      <w:kern w:val="0"/>
                      <w:szCs w:val="21"/>
                      <w:lang w:bidi="ar"/>
                    </w:rPr>
                    <w:t>符合</w:t>
                  </w:r>
                </w:p>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vAlign w:val="center"/>
                </w:tcPr>
                <w:p>
                  <w:pPr>
                    <w:jc w:val="center"/>
                    <w:rPr>
                      <w:color w:val="auto"/>
                      <w:szCs w:val="21"/>
                    </w:rPr>
                  </w:pPr>
                </w:p>
              </w:tc>
              <w:tc>
                <w:tcPr>
                  <w:tcW w:w="1521" w:type="dxa"/>
                  <w:vMerge w:val="continue"/>
                  <w:vAlign w:val="center"/>
                </w:tcPr>
                <w:p>
                  <w:pPr>
                    <w:jc w:val="center"/>
                    <w:rPr>
                      <w:color w:val="auto"/>
                      <w:szCs w:val="21"/>
                    </w:rPr>
                  </w:pPr>
                </w:p>
              </w:tc>
              <w:tc>
                <w:tcPr>
                  <w:tcW w:w="2590" w:type="dxa"/>
                  <w:vAlign w:val="center"/>
                </w:tcPr>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第七条项目施工组织方案具有环境合理性，对料场、弃土渣场等施工场地提出了水土流失防治和生态修复等措施。根据环境保护相关标准和要求，对施工期各类废污水、扬尘、废气、噪声、固体废物等提</w:t>
                  </w:r>
                </w:p>
                <w:p>
                  <w:pPr>
                    <w:keepNext w:val="0"/>
                    <w:keepLines w:val="0"/>
                    <w:widowControl/>
                    <w:suppressLineNumbers w:val="0"/>
                    <w:jc w:val="left"/>
                    <w:rPr>
                      <w:color w:val="auto"/>
                      <w:kern w:val="0"/>
                      <w:szCs w:val="21"/>
                      <w:lang w:bidi="ar"/>
                    </w:rPr>
                  </w:pPr>
                  <w:r>
                    <w:rPr>
                      <w:rFonts w:hint="eastAsia" w:ascii="宋体" w:hAnsi="宋体" w:eastAsia="宋体" w:cs="宋体"/>
                      <w:color w:val="auto"/>
                      <w:kern w:val="0"/>
                      <w:sz w:val="21"/>
                      <w:szCs w:val="21"/>
                      <w:lang w:val="en-US" w:eastAsia="zh-CN" w:bidi="ar"/>
                    </w:rPr>
                    <w:t>出了防治或处置措施。</w:t>
                  </w:r>
                </w:p>
              </w:tc>
              <w:tc>
                <w:tcPr>
                  <w:tcW w:w="1701" w:type="dxa"/>
                  <w:vAlign w:val="center"/>
                </w:tcPr>
                <w:p>
                  <w:pPr>
                    <w:keepNext w:val="0"/>
                    <w:keepLines w:val="0"/>
                    <w:widowControl/>
                    <w:suppressLineNumbers w:val="0"/>
                    <w:jc w:val="left"/>
                    <w:rPr>
                      <w:color w:val="auto"/>
                      <w:kern w:val="0"/>
                      <w:szCs w:val="21"/>
                      <w:lang w:bidi="ar"/>
                    </w:rPr>
                  </w:pPr>
                  <w:r>
                    <w:rPr>
                      <w:rFonts w:hint="eastAsia" w:ascii="宋体" w:hAnsi="宋体" w:eastAsia="宋体" w:cs="宋体"/>
                      <w:color w:val="auto"/>
                      <w:kern w:val="0"/>
                      <w:sz w:val="21"/>
                      <w:szCs w:val="21"/>
                      <w:lang w:val="en-US" w:eastAsia="zh-CN" w:bidi="ar"/>
                    </w:rPr>
                    <w:t>项目施工期对各类废污水、扬尘、废气、噪声、固体废物均提出了防治及处置措施对周围环境影响较小。</w:t>
                  </w:r>
                </w:p>
              </w:tc>
              <w:tc>
                <w:tcPr>
                  <w:tcW w:w="736" w:type="dxa"/>
                  <w:vAlign w:val="center"/>
                </w:tcPr>
                <w:p>
                  <w:pPr>
                    <w:jc w:val="center"/>
                    <w:rPr>
                      <w:color w:val="auto"/>
                      <w:szCs w:val="21"/>
                    </w:rPr>
                  </w:pPr>
                </w:p>
              </w:tc>
            </w:tr>
          </w:tbl>
          <w:p>
            <w:pPr>
              <w:spacing w:line="360" w:lineRule="auto"/>
              <w:rPr>
                <w:color w:val="auto"/>
                <w:sz w:val="24"/>
                <w:szCs w:val="22"/>
              </w:rPr>
            </w:pPr>
          </w:p>
          <w:p>
            <w:pPr>
              <w:spacing w:line="360" w:lineRule="auto"/>
              <w:ind w:firstLine="420" w:firstLineChars="200"/>
              <w:rPr>
                <w:color w:val="auto"/>
                <w:kern w:val="0"/>
                <w:szCs w:val="21"/>
              </w:rPr>
            </w:pPr>
          </w:p>
        </w:tc>
      </w:tr>
    </w:tbl>
    <w:p>
      <w:pPr>
        <w:spacing w:line="360" w:lineRule="auto"/>
        <w:outlineLvl w:val="0"/>
        <w:rPr>
          <w:rFonts w:eastAsia="黑体"/>
          <w:color w:val="auto"/>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15"/>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二、建设内容</w:t>
      </w:r>
    </w:p>
    <w:tbl>
      <w:tblPr>
        <w:tblStyle w:val="18"/>
        <w:tblW w:w="90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3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7" w:hRule="atLeast"/>
          <w:jc w:val="center"/>
        </w:trPr>
        <w:tc>
          <w:tcPr>
            <w:tcW w:w="710" w:type="dxa"/>
            <w:vAlign w:val="center"/>
          </w:tcPr>
          <w:p>
            <w:pPr>
              <w:adjustRightInd w:val="0"/>
              <w:snapToGrid w:val="0"/>
              <w:jc w:val="center"/>
              <w:rPr>
                <w:rFonts w:ascii="Times New Roman" w:hAnsi="Times New Roman" w:eastAsia="宋体" w:cs="Times New Roman"/>
                <w:color w:val="auto"/>
                <w:kern w:val="0"/>
                <w:sz w:val="21"/>
                <w:szCs w:val="21"/>
                <w:lang w:val="en-US" w:eastAsia="zh-CN" w:bidi="ar-SA"/>
              </w:rPr>
            </w:pPr>
            <w:r>
              <w:rPr>
                <w:color w:val="auto"/>
                <w:kern w:val="0"/>
                <w:szCs w:val="21"/>
              </w:rPr>
              <w:t>地理位置</w:t>
            </w:r>
          </w:p>
        </w:tc>
        <w:tc>
          <w:tcPr>
            <w:tcW w:w="83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color w:val="auto"/>
                <w:highlight w:val="none"/>
                <w:lang w:eastAsia="zh-CN"/>
              </w:rPr>
            </w:pPr>
            <w:r>
              <w:rPr>
                <w:rFonts w:hint="eastAsia"/>
                <w:color w:val="auto"/>
                <w:kern w:val="0"/>
                <w:szCs w:val="21"/>
                <w:lang w:val="en-US" w:eastAsia="zh-CN"/>
              </w:rPr>
              <w:t>本项目位于岚皋县</w:t>
            </w:r>
            <w:r>
              <w:rPr>
                <w:rFonts w:hint="eastAsia"/>
                <w:color w:val="auto"/>
                <w:highlight w:val="none"/>
              </w:rPr>
              <w:t>孟石岭镇</w:t>
            </w:r>
            <w:r>
              <w:rPr>
                <w:rFonts w:hint="eastAsia"/>
                <w:color w:val="auto"/>
                <w:highlight w:val="none"/>
                <w:lang w:eastAsia="zh-CN"/>
              </w:rPr>
              <w:t>、</w:t>
            </w:r>
            <w:r>
              <w:rPr>
                <w:rFonts w:hint="eastAsia"/>
                <w:color w:val="auto"/>
                <w:highlight w:val="none"/>
              </w:rPr>
              <w:t>南宫山镇</w:t>
            </w:r>
            <w:r>
              <w:rPr>
                <w:rFonts w:hint="eastAsia"/>
                <w:color w:val="auto"/>
                <w:highlight w:val="none"/>
                <w:lang w:val="en-US" w:eastAsia="zh-CN"/>
              </w:rPr>
              <w:t>和石门镇</w:t>
            </w:r>
            <w:r>
              <w:rPr>
                <w:color w:val="auto"/>
                <w:highlight w:val="none"/>
              </w:rPr>
              <w:t>内</w:t>
            </w:r>
            <w:r>
              <w:rPr>
                <w:rFonts w:hint="eastAsia"/>
                <w:color w:val="auto"/>
                <w:highlight w:val="none"/>
                <w:lang w:eastAsia="zh-CN"/>
              </w:rPr>
              <w:t>。</w:t>
            </w:r>
          </w:p>
          <w:p>
            <w:pPr>
              <w:spacing w:line="360" w:lineRule="auto"/>
              <w:ind w:firstLine="420" w:firstLineChars="200"/>
              <w:rPr>
                <w:rFonts w:hint="eastAsia"/>
                <w:color w:val="auto"/>
                <w:kern w:val="0"/>
                <w:szCs w:val="21"/>
                <w:lang w:val="en-US" w:eastAsia="zh-CN"/>
              </w:rPr>
            </w:pPr>
            <w:r>
              <w:rPr>
                <w:rFonts w:hint="eastAsia"/>
                <w:color w:val="auto"/>
                <w:highlight w:val="none"/>
                <w:lang w:val="en-US" w:eastAsia="zh-CN"/>
              </w:rPr>
              <w:t>岚河防洪堤防工程段，起始坐标</w:t>
            </w:r>
            <w:r>
              <w:rPr>
                <w:rFonts w:hint="eastAsia"/>
                <w:color w:val="auto"/>
                <w:highlight w:val="none"/>
                <w:lang w:eastAsia="zh-CN"/>
              </w:rPr>
              <w:t>：</w:t>
            </w:r>
            <w:r>
              <w:rPr>
                <w:rFonts w:hint="eastAsia"/>
                <w:color w:val="auto"/>
                <w:kern w:val="0"/>
                <w:szCs w:val="21"/>
                <w:lang w:val="en-US" w:eastAsia="zh-CN"/>
              </w:rPr>
              <w:t>起点坐标</w:t>
            </w:r>
            <w:r>
              <w:rPr>
                <w:rFonts w:hint="default"/>
                <w:color w:val="auto"/>
                <w:kern w:val="0"/>
                <w:szCs w:val="21"/>
                <w:lang w:val="en-US" w:eastAsia="zh-CN"/>
              </w:rPr>
              <w:t>E109°5′40.49″</w:t>
            </w:r>
            <w:r>
              <w:rPr>
                <w:rFonts w:hint="eastAsia"/>
                <w:color w:val="auto"/>
                <w:kern w:val="0"/>
                <w:szCs w:val="21"/>
                <w:lang w:val="en-US" w:eastAsia="zh-CN"/>
              </w:rPr>
              <w:t>、</w:t>
            </w:r>
            <w:r>
              <w:rPr>
                <w:rFonts w:hint="default"/>
                <w:color w:val="auto"/>
                <w:kern w:val="0"/>
                <w:szCs w:val="21"/>
                <w:lang w:val="en-US" w:eastAsia="zh-CN"/>
              </w:rPr>
              <w:t>N32°9′21.03″</w:t>
            </w:r>
            <w:r>
              <w:rPr>
                <w:rFonts w:hint="eastAsia"/>
                <w:color w:val="auto"/>
                <w:kern w:val="0"/>
                <w:szCs w:val="21"/>
                <w:lang w:val="en-US" w:eastAsia="zh-CN"/>
              </w:rPr>
              <w:t xml:space="preserve">，终点坐标 </w:t>
            </w:r>
            <w:r>
              <w:rPr>
                <w:rFonts w:hint="default"/>
                <w:color w:val="auto"/>
                <w:kern w:val="0"/>
                <w:szCs w:val="21"/>
                <w:lang w:val="en-US" w:eastAsia="zh-CN"/>
              </w:rPr>
              <w:t>E109°0′47.42″</w:t>
            </w:r>
            <w:r>
              <w:rPr>
                <w:rFonts w:hint="eastAsia"/>
                <w:color w:val="auto"/>
                <w:kern w:val="0"/>
                <w:szCs w:val="21"/>
                <w:lang w:val="en-US" w:eastAsia="zh-CN"/>
              </w:rPr>
              <w:t>、</w:t>
            </w:r>
            <w:r>
              <w:rPr>
                <w:rFonts w:hint="default"/>
                <w:color w:val="auto"/>
                <w:kern w:val="0"/>
                <w:szCs w:val="21"/>
                <w:lang w:val="en-US" w:eastAsia="zh-CN"/>
              </w:rPr>
              <w:t>N32°12′52.75″</w:t>
            </w:r>
            <w:r>
              <w:rPr>
                <w:rFonts w:hint="eastAsia"/>
                <w:color w:val="auto"/>
                <w:kern w:val="0"/>
                <w:szCs w:val="21"/>
                <w:lang w:val="en-US" w:eastAsia="zh-CN"/>
              </w:rPr>
              <w:t>；</w:t>
            </w:r>
          </w:p>
          <w:p>
            <w:pPr>
              <w:spacing w:line="360" w:lineRule="auto"/>
              <w:ind w:firstLine="420" w:firstLineChars="200"/>
              <w:rPr>
                <w:rFonts w:hint="eastAsia"/>
                <w:color w:val="auto"/>
                <w:kern w:val="0"/>
                <w:szCs w:val="21"/>
                <w:lang w:val="en-US" w:eastAsia="zh-CN"/>
              </w:rPr>
            </w:pPr>
            <w:r>
              <w:rPr>
                <w:rFonts w:hint="eastAsia"/>
                <w:color w:val="auto"/>
                <w:highlight w:val="none"/>
                <w:lang w:val="en-US" w:eastAsia="zh-CN"/>
              </w:rPr>
              <w:t>大盘河防洪堤防工程段，起始坐标</w:t>
            </w:r>
            <w:r>
              <w:rPr>
                <w:rFonts w:hint="eastAsia"/>
                <w:color w:val="auto"/>
                <w:highlight w:val="none"/>
                <w:lang w:eastAsia="zh-CN"/>
              </w:rPr>
              <w:t>：</w:t>
            </w:r>
            <w:r>
              <w:rPr>
                <w:rFonts w:hint="eastAsia"/>
                <w:color w:val="auto"/>
                <w:kern w:val="0"/>
                <w:szCs w:val="21"/>
                <w:lang w:val="en-US" w:eastAsia="zh-CN"/>
              </w:rPr>
              <w:t xml:space="preserve">起点坐标 </w:t>
            </w:r>
            <w:r>
              <w:rPr>
                <w:rFonts w:hint="default"/>
                <w:color w:val="auto"/>
                <w:kern w:val="0"/>
                <w:szCs w:val="21"/>
                <w:lang w:val="en-US" w:eastAsia="zh-CN"/>
              </w:rPr>
              <w:t>E108°45′32.53″</w:t>
            </w:r>
            <w:r>
              <w:rPr>
                <w:rFonts w:hint="eastAsia"/>
                <w:color w:val="auto"/>
                <w:kern w:val="0"/>
                <w:szCs w:val="21"/>
                <w:lang w:val="en-US" w:eastAsia="zh-CN"/>
              </w:rPr>
              <w:t>、</w:t>
            </w:r>
            <w:r>
              <w:rPr>
                <w:rFonts w:hint="default"/>
                <w:color w:val="auto"/>
                <w:kern w:val="0"/>
                <w:szCs w:val="21"/>
                <w:lang w:val="en-US" w:eastAsia="zh-CN"/>
              </w:rPr>
              <w:t>N32°15′9.51″</w:t>
            </w:r>
            <w:r>
              <w:rPr>
                <w:rFonts w:hint="eastAsia"/>
                <w:color w:val="auto"/>
                <w:kern w:val="0"/>
                <w:szCs w:val="21"/>
                <w:lang w:val="en-US" w:eastAsia="zh-CN"/>
              </w:rPr>
              <w:t xml:space="preserve">，终点坐标 </w:t>
            </w:r>
            <w:r>
              <w:rPr>
                <w:rFonts w:hint="default"/>
                <w:color w:val="auto"/>
                <w:kern w:val="0"/>
                <w:szCs w:val="21"/>
                <w:lang w:val="en-US" w:eastAsia="zh-CN"/>
              </w:rPr>
              <w:t>E108°45′29.52″</w:t>
            </w:r>
            <w:r>
              <w:rPr>
                <w:rFonts w:hint="eastAsia"/>
                <w:color w:val="auto"/>
                <w:kern w:val="0"/>
                <w:szCs w:val="21"/>
                <w:lang w:val="en-US" w:eastAsia="zh-CN"/>
              </w:rPr>
              <w:t>、</w:t>
            </w:r>
            <w:r>
              <w:rPr>
                <w:rFonts w:hint="default"/>
                <w:color w:val="auto"/>
                <w:kern w:val="0"/>
                <w:szCs w:val="21"/>
                <w:lang w:val="en-US" w:eastAsia="zh-CN"/>
              </w:rPr>
              <w:t>N32°15′17.74″</w:t>
            </w:r>
            <w:r>
              <w:rPr>
                <w:rFonts w:hint="eastAsia"/>
                <w:color w:val="auto"/>
                <w:kern w:val="0"/>
                <w:szCs w:val="21"/>
                <w:lang w:val="en-US" w:eastAsia="zh-CN"/>
              </w:rPr>
              <w:t>。</w:t>
            </w:r>
          </w:p>
          <w:p>
            <w:pPr>
              <w:spacing w:line="360" w:lineRule="auto"/>
              <w:ind w:firstLine="420" w:firstLineChars="200"/>
              <w:rPr>
                <w:color w:val="auto"/>
                <w:highlight w:val="none"/>
              </w:rPr>
            </w:pPr>
            <w:r>
              <w:rPr>
                <w:rFonts w:hint="eastAsia"/>
                <w:color w:val="auto"/>
                <w:highlight w:val="none"/>
                <w:lang w:val="en-US" w:eastAsia="zh-CN"/>
              </w:rPr>
              <w:t>项目区紧邻G211公路、石窑路，对外交通便利</w:t>
            </w:r>
            <w:r>
              <w:rPr>
                <w:color w:val="auto"/>
                <w:highlight w:val="none"/>
              </w:rPr>
              <w:t>。</w:t>
            </w:r>
          </w:p>
          <w:p>
            <w:pPr>
              <w:spacing w:line="360" w:lineRule="auto"/>
              <w:ind w:firstLine="420" w:firstLineChars="200"/>
              <w:rPr>
                <w:rFonts w:ascii="Times New Roman" w:hAnsi="Times New Roman" w:eastAsia="宋体" w:cs="Times New Roman"/>
                <w:snapToGrid w:val="0"/>
                <w:color w:val="auto"/>
                <w:kern w:val="0"/>
                <w:sz w:val="24"/>
                <w:szCs w:val="24"/>
                <w:lang w:val="en-US" w:eastAsia="zh-CN" w:bidi="ar-SA"/>
              </w:rPr>
            </w:pPr>
            <w:r>
              <w:rPr>
                <w:color w:val="auto"/>
                <w:kern w:val="0"/>
                <w:szCs w:val="21"/>
              </w:rPr>
              <w:t>项目地理位置图</w:t>
            </w:r>
            <w:r>
              <w:rPr>
                <w:rFonts w:hint="eastAsia"/>
                <w:color w:val="auto"/>
                <w:kern w:val="0"/>
                <w:szCs w:val="21"/>
                <w:lang w:eastAsia="zh-CN"/>
              </w:rPr>
              <w:t>，</w:t>
            </w:r>
            <w:r>
              <w:rPr>
                <w:color w:val="auto"/>
                <w:kern w:val="0"/>
                <w:szCs w:val="21"/>
              </w:rPr>
              <w:t>见附图1。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Align w:val="center"/>
          </w:tcPr>
          <w:p>
            <w:pPr>
              <w:adjustRightInd w:val="0"/>
              <w:snapToGrid w:val="0"/>
              <w:jc w:val="center"/>
              <w:rPr>
                <w:rFonts w:ascii="Times New Roman" w:hAnsi="Times New Roman" w:eastAsia="宋体" w:cs="Times New Roman"/>
                <w:color w:val="auto"/>
                <w:kern w:val="0"/>
                <w:sz w:val="21"/>
                <w:szCs w:val="21"/>
                <w:lang w:val="en-US" w:eastAsia="zh-CN" w:bidi="ar-SA"/>
              </w:rPr>
            </w:pPr>
            <w:r>
              <w:rPr>
                <w:color w:val="auto"/>
                <w:kern w:val="0"/>
                <w:szCs w:val="21"/>
              </w:rPr>
              <w:t>项目组成及规模</w:t>
            </w:r>
          </w:p>
        </w:tc>
        <w:tc>
          <w:tcPr>
            <w:tcW w:w="8380" w:type="dxa"/>
            <w:vAlign w:val="center"/>
          </w:tcPr>
          <w:p>
            <w:pPr>
              <w:spacing w:line="360" w:lineRule="auto"/>
              <w:rPr>
                <w:rFonts w:hint="eastAsia"/>
                <w:b/>
                <w:bCs/>
                <w:color w:val="auto"/>
                <w:lang w:val="en-US" w:eastAsia="zh-CN"/>
              </w:rPr>
            </w:pPr>
            <w:r>
              <w:rPr>
                <w:rFonts w:hint="eastAsia"/>
                <w:b/>
                <w:bCs/>
                <w:color w:val="auto"/>
                <w:lang w:val="en-US" w:eastAsia="zh-CN"/>
              </w:rPr>
              <w:t>一、工程任务及标准</w:t>
            </w:r>
          </w:p>
          <w:p>
            <w:pPr>
              <w:spacing w:line="360" w:lineRule="auto"/>
              <w:ind w:firstLine="420" w:firstLineChars="200"/>
              <w:rPr>
                <w:rFonts w:hint="eastAsia"/>
                <w:color w:val="auto"/>
                <w:lang w:val="en-US" w:eastAsia="zh-CN"/>
              </w:rPr>
            </w:pPr>
            <w:r>
              <w:rPr>
                <w:rFonts w:hint="eastAsia"/>
                <w:color w:val="auto"/>
                <w:lang w:val="en-US" w:eastAsia="zh-CN"/>
              </w:rPr>
              <w:t>（1）工程任务</w:t>
            </w:r>
          </w:p>
          <w:p>
            <w:pPr>
              <w:spacing w:line="360" w:lineRule="auto"/>
              <w:ind w:firstLine="420" w:firstLineChars="200"/>
              <w:rPr>
                <w:rFonts w:hint="eastAsia"/>
                <w:color w:val="auto"/>
                <w:lang w:val="en-US" w:eastAsia="zh-CN"/>
              </w:rPr>
            </w:pPr>
            <w:r>
              <w:rPr>
                <w:color w:val="auto"/>
              </w:rPr>
              <w:t>本项目的建设是为了满足</w:t>
            </w:r>
            <w:r>
              <w:rPr>
                <w:rFonts w:hint="eastAsia"/>
                <w:color w:val="auto"/>
              </w:rPr>
              <w:t>岚河孟石岭镇</w:t>
            </w:r>
            <w:r>
              <w:rPr>
                <w:rFonts w:hint="eastAsia"/>
                <w:color w:val="auto"/>
                <w:highlight w:val="none"/>
                <w:lang w:eastAsia="zh-CN"/>
              </w:rPr>
              <w:t>、</w:t>
            </w:r>
            <w:r>
              <w:rPr>
                <w:rFonts w:hint="eastAsia"/>
                <w:color w:val="auto"/>
                <w:highlight w:val="none"/>
              </w:rPr>
              <w:t>南宫山镇</w:t>
            </w:r>
            <w:r>
              <w:rPr>
                <w:rFonts w:hint="eastAsia"/>
                <w:color w:val="auto"/>
                <w:highlight w:val="none"/>
                <w:lang w:val="en-US" w:eastAsia="zh-CN"/>
              </w:rPr>
              <w:t>和石门镇</w:t>
            </w:r>
            <w:r>
              <w:rPr>
                <w:rFonts w:hint="eastAsia"/>
                <w:color w:val="auto"/>
              </w:rPr>
              <w:t>段</w:t>
            </w:r>
            <w:r>
              <w:rPr>
                <w:color w:val="auto"/>
                <w:highlight w:val="none"/>
              </w:rPr>
              <w:t>内</w:t>
            </w:r>
            <w:r>
              <w:rPr>
                <w:rFonts w:hint="eastAsia"/>
                <w:color w:val="auto"/>
              </w:rPr>
              <w:t>居民和耕地免受洪水侵袭的需求</w:t>
            </w:r>
            <w:r>
              <w:rPr>
                <w:color w:val="auto"/>
              </w:rPr>
              <w:t>，</w:t>
            </w:r>
            <w:r>
              <w:rPr>
                <w:rFonts w:hint="eastAsia"/>
                <w:color w:val="auto"/>
              </w:rPr>
              <w:t>保护</w:t>
            </w:r>
            <w:r>
              <w:rPr>
                <w:color w:val="auto"/>
              </w:rPr>
              <w:t>治理段河道两岸居民生命和财产安全</w:t>
            </w:r>
            <w:r>
              <w:rPr>
                <w:rFonts w:hint="eastAsia"/>
                <w:color w:val="auto"/>
              </w:rPr>
              <w:t>，保障乡村企业免受洪水威胁，安全发展，为</w:t>
            </w:r>
            <w:r>
              <w:rPr>
                <w:color w:val="auto"/>
              </w:rPr>
              <w:t>区域经济开发建设及构建人水和谐社会奠定良好的基础</w:t>
            </w:r>
            <w:r>
              <w:rPr>
                <w:rFonts w:hint="eastAsia"/>
                <w:color w:val="auto"/>
              </w:rPr>
              <w:t>。</w:t>
            </w:r>
          </w:p>
          <w:p>
            <w:pPr>
              <w:spacing w:line="360" w:lineRule="auto"/>
              <w:ind w:firstLine="420" w:firstLineChars="200"/>
              <w:rPr>
                <w:rFonts w:hint="eastAsia"/>
                <w:color w:val="auto"/>
                <w:lang w:val="en-US" w:eastAsia="zh-CN"/>
              </w:rPr>
            </w:pPr>
            <w:r>
              <w:rPr>
                <w:rFonts w:hint="eastAsia"/>
                <w:color w:val="auto"/>
                <w:lang w:val="en-US" w:eastAsia="zh-CN"/>
              </w:rPr>
              <w:t>（2）设计标准</w:t>
            </w:r>
          </w:p>
          <w:p>
            <w:pPr>
              <w:spacing w:line="360" w:lineRule="auto"/>
              <w:ind w:firstLine="420" w:firstLineChars="200"/>
              <w:rPr>
                <w:rFonts w:hint="default"/>
                <w:color w:val="auto"/>
                <w:lang w:val="en-US" w:eastAsia="zh-CN"/>
              </w:rPr>
            </w:pPr>
            <w:r>
              <w:rPr>
                <w:rFonts w:hint="eastAsia"/>
                <w:color w:val="auto"/>
              </w:rPr>
              <w:t>本工程防洪标准堤防段除西河村一组猕猴桃园区左岸段为农防标准，采用10年一遇设防标准外，其余段落的堤防均为人防段，</w:t>
            </w:r>
            <w:r>
              <w:rPr>
                <w:color w:val="auto"/>
              </w:rPr>
              <w:t>防洪标准</w:t>
            </w:r>
            <w:r>
              <w:rPr>
                <w:rFonts w:hint="eastAsia"/>
                <w:color w:val="auto"/>
              </w:rPr>
              <w:t>均</w:t>
            </w:r>
            <w:r>
              <w:rPr>
                <w:color w:val="auto"/>
              </w:rPr>
              <w:t>取20年一遇</w:t>
            </w:r>
            <w:r>
              <w:rPr>
                <w:rFonts w:hint="eastAsia"/>
                <w:color w:val="auto"/>
              </w:rPr>
              <w:t>；护岸段防护对象为农田，因此设防标准为10年一遇。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lang w:val="en-US" w:eastAsia="zh-CN"/>
              </w:rPr>
            </w:pPr>
            <w:r>
              <w:rPr>
                <w:rFonts w:hint="eastAsia"/>
                <w:b/>
                <w:bCs/>
                <w:color w:val="auto"/>
                <w:lang w:val="en-US" w:eastAsia="zh-CN"/>
              </w:rPr>
              <w:t>二</w:t>
            </w:r>
            <w:r>
              <w:rPr>
                <w:b/>
                <w:bCs/>
                <w:color w:val="auto"/>
              </w:rPr>
              <w:t>、</w:t>
            </w:r>
            <w:r>
              <w:rPr>
                <w:rFonts w:hint="eastAsia"/>
                <w:b/>
                <w:bCs/>
                <w:color w:val="auto"/>
                <w:lang w:val="en-US" w:eastAsia="zh-CN"/>
              </w:rPr>
              <w:t>建设内容及规模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rPr>
            </w:pPr>
            <w:r>
              <w:rPr>
                <w:color w:val="auto"/>
              </w:rPr>
              <w:t>工程内容包括主体工程、</w:t>
            </w:r>
            <w:r>
              <w:rPr>
                <w:rFonts w:hint="eastAsia"/>
                <w:color w:val="auto"/>
                <w:lang w:val="en-US" w:eastAsia="zh-CN"/>
              </w:rPr>
              <w:t>附属</w:t>
            </w:r>
            <w:r>
              <w:rPr>
                <w:color w:val="auto"/>
              </w:rPr>
              <w:t>工程、</w:t>
            </w:r>
            <w:r>
              <w:rPr>
                <w:rFonts w:hint="eastAsia"/>
                <w:color w:val="auto"/>
                <w:lang w:val="en-US" w:eastAsia="zh-CN"/>
              </w:rPr>
              <w:t>临时工程、</w:t>
            </w:r>
            <w:r>
              <w:rPr>
                <w:color w:val="auto"/>
              </w:rPr>
              <w:t>公用工程和环保工程等，项目组成见表</w:t>
            </w:r>
            <w:r>
              <w:rPr>
                <w:rFonts w:hint="eastAsia"/>
                <w:color w:val="auto"/>
                <w:lang w:val="en-US" w:eastAsia="zh-CN"/>
              </w:rPr>
              <w:t>2-1</w:t>
            </w:r>
            <w:r>
              <w:rPr>
                <w:color w:val="auto"/>
              </w:rPr>
              <w:t>。</w:t>
            </w:r>
          </w:p>
          <w:p>
            <w:pPr>
              <w:jc w:val="center"/>
              <w:rPr>
                <w:color w:val="auto"/>
              </w:rPr>
            </w:pPr>
            <w:r>
              <w:rPr>
                <w:color w:val="auto"/>
              </w:rPr>
              <w:t>表</w:t>
            </w:r>
            <w:r>
              <w:rPr>
                <w:rFonts w:hint="eastAsia"/>
                <w:color w:val="auto"/>
                <w:lang w:val="en-US" w:eastAsia="zh-CN"/>
              </w:rPr>
              <w:t>2-1</w:t>
            </w:r>
            <w:r>
              <w:rPr>
                <w:color w:val="auto"/>
              </w:rPr>
              <w:t xml:space="preserve"> </w:t>
            </w:r>
            <w:r>
              <w:rPr>
                <w:rFonts w:hint="eastAsia"/>
                <w:color w:val="auto"/>
                <w:lang w:val="en-US" w:eastAsia="zh-CN"/>
              </w:rPr>
              <w:t xml:space="preserve"> </w:t>
            </w:r>
            <w:r>
              <w:rPr>
                <w:color w:val="auto"/>
              </w:rPr>
              <w:t xml:space="preserve"> 工程组成表</w:t>
            </w:r>
          </w:p>
          <w:tbl>
            <w:tblPr>
              <w:tblStyle w:val="18"/>
              <w:tblW w:w="815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8"/>
              <w:gridCol w:w="1255"/>
              <w:gridCol w:w="5278"/>
              <w:gridCol w:w="9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Header/>
                <w:jc w:val="center"/>
              </w:trPr>
              <w:tc>
                <w:tcPr>
                  <w:tcW w:w="718" w:type="dxa"/>
                  <w:shd w:val="clear" w:color="auto" w:fill="auto"/>
                  <w:vAlign w:val="center"/>
                </w:tcPr>
                <w:p>
                  <w:pPr>
                    <w:adjustRightInd w:val="0"/>
                    <w:snapToGrid w:val="0"/>
                    <w:jc w:val="center"/>
                    <w:rPr>
                      <w:color w:val="auto"/>
                    </w:rPr>
                  </w:pPr>
                  <w:r>
                    <w:rPr>
                      <w:color w:val="auto"/>
                    </w:rPr>
                    <w:t>序号</w:t>
                  </w:r>
                </w:p>
              </w:tc>
              <w:tc>
                <w:tcPr>
                  <w:tcW w:w="1255" w:type="dxa"/>
                  <w:shd w:val="clear" w:color="auto" w:fill="auto"/>
                  <w:vAlign w:val="center"/>
                </w:tcPr>
                <w:p>
                  <w:pPr>
                    <w:adjustRightInd w:val="0"/>
                    <w:snapToGrid w:val="0"/>
                    <w:jc w:val="center"/>
                    <w:rPr>
                      <w:color w:val="auto"/>
                    </w:rPr>
                  </w:pPr>
                  <w:r>
                    <w:rPr>
                      <w:color w:val="auto"/>
                    </w:rPr>
                    <w:t>项目组成</w:t>
                  </w:r>
                </w:p>
              </w:tc>
              <w:tc>
                <w:tcPr>
                  <w:tcW w:w="5278" w:type="dxa"/>
                  <w:tcBorders>
                    <w:right w:val="single" w:color="auto" w:sz="4" w:space="0"/>
                  </w:tcBorders>
                  <w:shd w:val="clear" w:color="auto" w:fill="auto"/>
                  <w:vAlign w:val="center"/>
                </w:tcPr>
                <w:p>
                  <w:pPr>
                    <w:adjustRightInd w:val="0"/>
                    <w:snapToGrid w:val="0"/>
                    <w:jc w:val="center"/>
                    <w:rPr>
                      <w:rFonts w:hint="eastAsia" w:eastAsia="宋体"/>
                      <w:color w:val="auto"/>
                      <w:lang w:eastAsia="zh-CN"/>
                    </w:rPr>
                  </w:pPr>
                  <w:r>
                    <w:rPr>
                      <w:color w:val="auto"/>
                    </w:rPr>
                    <w:t>建设内容</w:t>
                  </w:r>
                  <w:r>
                    <w:rPr>
                      <w:rFonts w:hint="eastAsia"/>
                      <w:color w:val="auto"/>
                      <w:lang w:eastAsia="zh-CN"/>
                    </w:rPr>
                    <w:t>及规模</w:t>
                  </w:r>
                </w:p>
              </w:tc>
              <w:tc>
                <w:tcPr>
                  <w:tcW w:w="907" w:type="dxa"/>
                  <w:tcBorders>
                    <w:left w:val="single" w:color="auto" w:sz="4" w:space="0"/>
                  </w:tcBorders>
                  <w:shd w:val="clear" w:color="auto" w:fill="auto"/>
                  <w:vAlign w:val="center"/>
                </w:tcPr>
                <w:p>
                  <w:pPr>
                    <w:adjustRightInd w:val="0"/>
                    <w:snapToGrid w:val="0"/>
                    <w:jc w:val="center"/>
                    <w:rPr>
                      <w:rFonts w:hint="eastAsia"/>
                      <w:color w:val="auto"/>
                      <w:lang w:val="en-US" w:eastAsia="zh-CN"/>
                    </w:rPr>
                  </w:pPr>
                  <w:r>
                    <w:rPr>
                      <w:rFonts w:hint="eastAsia"/>
                      <w:color w:val="auto"/>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18" w:type="dxa"/>
                  <w:vAlign w:val="center"/>
                </w:tcPr>
                <w:p>
                  <w:pPr>
                    <w:adjustRightInd w:val="0"/>
                    <w:snapToGrid w:val="0"/>
                    <w:jc w:val="center"/>
                    <w:rPr>
                      <w:color w:val="auto"/>
                    </w:rPr>
                  </w:pPr>
                  <w:r>
                    <w:rPr>
                      <w:color w:val="auto"/>
                    </w:rPr>
                    <w:t>一</w:t>
                  </w:r>
                </w:p>
              </w:tc>
              <w:tc>
                <w:tcPr>
                  <w:tcW w:w="7440" w:type="dxa"/>
                  <w:gridSpan w:val="3"/>
                  <w:vAlign w:val="center"/>
                </w:tcPr>
                <w:p>
                  <w:pPr>
                    <w:adjustRightInd w:val="0"/>
                    <w:snapToGrid w:val="0"/>
                    <w:jc w:val="center"/>
                    <w:rPr>
                      <w:color w:val="auto"/>
                    </w:rPr>
                  </w:pPr>
                  <w:r>
                    <w:rPr>
                      <w:color w:val="auto"/>
                    </w:rPr>
                    <w:t>主体工程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18" w:type="dxa"/>
                  <w:vAlign w:val="center"/>
                </w:tcPr>
                <w:p>
                  <w:pPr>
                    <w:adjustRightInd w:val="0"/>
                    <w:snapToGrid w:val="0"/>
                    <w:jc w:val="center"/>
                    <w:rPr>
                      <w:color w:val="auto"/>
                    </w:rPr>
                  </w:pPr>
                  <w:r>
                    <w:rPr>
                      <w:color w:val="auto"/>
                    </w:rPr>
                    <w:t>1</w:t>
                  </w:r>
                </w:p>
              </w:tc>
              <w:tc>
                <w:tcPr>
                  <w:tcW w:w="1255" w:type="dxa"/>
                  <w:vAlign w:val="center"/>
                </w:tcPr>
                <w:p>
                  <w:pPr>
                    <w:adjustRightInd w:val="0"/>
                    <w:snapToGrid w:val="0"/>
                    <w:jc w:val="center"/>
                    <w:rPr>
                      <w:color w:val="auto"/>
                    </w:rPr>
                  </w:pPr>
                  <w:r>
                    <w:rPr>
                      <w:rFonts w:hint="eastAsia"/>
                      <w:color w:val="auto"/>
                      <w:lang w:val="en-US" w:eastAsia="zh-CN"/>
                    </w:rPr>
                    <w:t>防洪</w:t>
                  </w:r>
                  <w:r>
                    <w:rPr>
                      <w:color w:val="auto"/>
                    </w:rPr>
                    <w:t>工程</w:t>
                  </w:r>
                </w:p>
              </w:tc>
              <w:tc>
                <w:tcPr>
                  <w:tcW w:w="5278" w:type="dxa"/>
                  <w:tcBorders>
                    <w:right w:val="single" w:color="auto" w:sz="4" w:space="0"/>
                  </w:tcBorders>
                  <w:vAlign w:val="center"/>
                </w:tcPr>
                <w:p>
                  <w:pPr>
                    <w:adjustRightInd w:val="0"/>
                    <w:snapToGrid w:val="0"/>
                    <w:rPr>
                      <w:color w:val="auto"/>
                    </w:rPr>
                  </w:pPr>
                  <w:r>
                    <w:rPr>
                      <w:rFonts w:hint="eastAsia"/>
                      <w:color w:val="auto"/>
                    </w:rPr>
                    <w:t>本次治理工程共布置8段防洪工程，综合治理长度1770.98m，其中，新建堤防860.07m，堤防加高480.31m，水毁新建堤防50m，水毁新建护岸85.5m，新建护岸130.10m，堤脚加固165m。设计防洪标准分别为10和20年。</w:t>
                  </w:r>
                </w:p>
              </w:tc>
              <w:tc>
                <w:tcPr>
                  <w:tcW w:w="907" w:type="dxa"/>
                  <w:tcBorders>
                    <w:left w:val="single" w:color="auto" w:sz="4" w:space="0"/>
                  </w:tcBorders>
                  <w:vAlign w:val="center"/>
                </w:tcPr>
                <w:p>
                  <w:pPr>
                    <w:adjustRightInd w:val="0"/>
                    <w:snapToGrid w:val="0"/>
                    <w:rPr>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18" w:type="dxa"/>
                  <w:vAlign w:val="center"/>
                </w:tcPr>
                <w:p>
                  <w:pPr>
                    <w:adjustRightInd w:val="0"/>
                    <w:snapToGrid w:val="0"/>
                    <w:jc w:val="center"/>
                    <w:rPr>
                      <w:color w:val="auto"/>
                    </w:rPr>
                  </w:pPr>
                  <w:r>
                    <w:rPr>
                      <w:color w:val="auto"/>
                    </w:rPr>
                    <w:t>二</w:t>
                  </w:r>
                </w:p>
              </w:tc>
              <w:tc>
                <w:tcPr>
                  <w:tcW w:w="7440" w:type="dxa"/>
                  <w:gridSpan w:val="3"/>
                  <w:vAlign w:val="center"/>
                </w:tcPr>
                <w:p>
                  <w:pPr>
                    <w:adjustRightInd w:val="0"/>
                    <w:snapToGrid w:val="0"/>
                    <w:jc w:val="center"/>
                    <w:rPr>
                      <w:rFonts w:hint="eastAsia"/>
                      <w:color w:val="auto"/>
                      <w:lang w:val="en-US" w:eastAsia="zh-CN"/>
                    </w:rPr>
                  </w:pPr>
                  <w:r>
                    <w:rPr>
                      <w:rFonts w:hint="eastAsia"/>
                      <w:color w:val="auto"/>
                      <w:lang w:val="en-US" w:eastAsia="zh-CN"/>
                    </w:rPr>
                    <w:t>附属工程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18" w:type="dxa"/>
                  <w:vAlign w:val="center"/>
                </w:tcPr>
                <w:p>
                  <w:pPr>
                    <w:adjustRightInd w:val="0"/>
                    <w:snapToGrid w:val="0"/>
                    <w:jc w:val="center"/>
                    <w:rPr>
                      <w:color w:val="auto"/>
                    </w:rPr>
                  </w:pPr>
                  <w:r>
                    <w:rPr>
                      <w:color w:val="auto"/>
                    </w:rPr>
                    <w:t>1</w:t>
                  </w:r>
                </w:p>
              </w:tc>
              <w:tc>
                <w:tcPr>
                  <w:tcW w:w="1255" w:type="dxa"/>
                  <w:vAlign w:val="center"/>
                </w:tcPr>
                <w:p>
                  <w:pPr>
                    <w:adjustRightInd w:val="0"/>
                    <w:snapToGrid w:val="0"/>
                    <w:jc w:val="center"/>
                    <w:rPr>
                      <w:color w:val="auto"/>
                    </w:rPr>
                  </w:pPr>
                  <w:r>
                    <w:rPr>
                      <w:rFonts w:hint="eastAsia"/>
                      <w:color w:val="auto"/>
                      <w:lang w:eastAsia="zh-CN"/>
                    </w:rPr>
                    <w:t>堤脚加固</w:t>
                  </w:r>
                </w:p>
              </w:tc>
              <w:tc>
                <w:tcPr>
                  <w:tcW w:w="5278" w:type="dxa"/>
                  <w:tcBorders>
                    <w:right w:val="single" w:color="auto" w:sz="4" w:space="0"/>
                  </w:tcBorders>
                  <w:vAlign w:val="center"/>
                </w:tcPr>
                <w:p>
                  <w:pPr>
                    <w:adjustRightInd w:val="0"/>
                    <w:snapToGrid w:val="0"/>
                    <w:rPr>
                      <w:rFonts w:hint="eastAsia" w:eastAsia="宋体"/>
                      <w:color w:val="auto"/>
                      <w:lang w:val="en-US" w:eastAsia="zh-CN"/>
                    </w:rPr>
                  </w:pPr>
                  <w:r>
                    <w:rPr>
                      <w:rFonts w:hint="eastAsia"/>
                      <w:color w:val="auto"/>
                      <w:lang w:eastAsia="zh-CN"/>
                    </w:rPr>
                    <w:t>堤脚加固</w:t>
                  </w:r>
                  <w:r>
                    <w:rPr>
                      <w:rFonts w:hint="eastAsia"/>
                      <w:color w:val="auto"/>
                      <w:lang w:val="en-US" w:eastAsia="zh-CN"/>
                    </w:rPr>
                    <w:t>2处：</w:t>
                  </w:r>
                  <w:r>
                    <w:rPr>
                      <w:rFonts w:hint="eastAsia"/>
                      <w:color w:val="auto"/>
                      <w:highlight w:val="none"/>
                    </w:rPr>
                    <w:t>西河村二组右岸段</w:t>
                  </w:r>
                  <w:r>
                    <w:rPr>
                      <w:rFonts w:hint="eastAsia"/>
                      <w:color w:val="auto"/>
                      <w:highlight w:val="none"/>
                      <w:lang w:eastAsia="zh-CN"/>
                    </w:rPr>
                    <w:t>，</w:t>
                  </w:r>
                  <w:r>
                    <w:rPr>
                      <w:rFonts w:hint="eastAsia"/>
                      <w:color w:val="auto"/>
                      <w:highlight w:val="none"/>
                    </w:rPr>
                    <w:t>断面形式采用扣墙进行加固，采用C20埋石混凝土进行浇筑（埋石率20%），加固长度合计40m</w:t>
                  </w:r>
                  <w:r>
                    <w:rPr>
                      <w:rFonts w:hint="eastAsia"/>
                      <w:color w:val="auto"/>
                      <w:highlight w:val="none"/>
                      <w:lang w:eastAsia="zh-CN"/>
                    </w:rPr>
                    <w:t>；</w:t>
                  </w:r>
                  <w:r>
                    <w:rPr>
                      <w:rFonts w:hint="eastAsia"/>
                      <w:color w:val="auto"/>
                      <w:highlight w:val="none"/>
                    </w:rPr>
                    <w:t>龙安村龙安电站左岸段</w:t>
                  </w:r>
                  <w:r>
                    <w:rPr>
                      <w:rFonts w:hint="eastAsia"/>
                      <w:color w:val="auto"/>
                      <w:highlight w:val="none"/>
                      <w:lang w:eastAsia="zh-CN"/>
                    </w:rPr>
                    <w:t>，</w:t>
                  </w:r>
                  <w:r>
                    <w:rPr>
                      <w:rFonts w:hint="eastAsia"/>
                      <w:color w:val="auto"/>
                      <w:highlight w:val="none"/>
                    </w:rPr>
                    <w:t>堤脚加固断面形式采用扣墙进行加固，采用C20埋石混凝土进行浇筑（埋石率20%）</w:t>
                  </w:r>
                  <w:r>
                    <w:rPr>
                      <w:rFonts w:hint="eastAsia"/>
                      <w:color w:val="auto"/>
                      <w:highlight w:val="none"/>
                      <w:lang w:eastAsia="zh-CN"/>
                    </w:rPr>
                    <w:t>，</w:t>
                  </w:r>
                  <w:r>
                    <w:rPr>
                      <w:rFonts w:hint="eastAsia"/>
                      <w:color w:val="auto"/>
                      <w:highlight w:val="none"/>
                    </w:rPr>
                    <w:t>加固长度合计125m</w:t>
                  </w:r>
                  <w:r>
                    <w:rPr>
                      <w:rFonts w:hint="eastAsia"/>
                      <w:color w:val="auto"/>
                      <w:highlight w:val="none"/>
                      <w:lang w:eastAsia="zh-CN"/>
                    </w:rPr>
                    <w:t>。</w:t>
                  </w:r>
                </w:p>
              </w:tc>
              <w:tc>
                <w:tcPr>
                  <w:tcW w:w="907" w:type="dxa"/>
                  <w:tcBorders>
                    <w:left w:val="single" w:color="auto" w:sz="4" w:space="0"/>
                  </w:tcBorders>
                  <w:vAlign w:val="center"/>
                </w:tcPr>
                <w:p>
                  <w:pPr>
                    <w:adjustRightInd w:val="0"/>
                    <w:snapToGrid w:val="0"/>
                    <w:rPr>
                      <w:rFonts w:hint="eastAsia" w:eastAsia="宋体"/>
                      <w:color w:val="auto"/>
                      <w:lang w:eastAsia="zh-CN"/>
                    </w:rPr>
                  </w:pPr>
                  <w:r>
                    <w:rPr>
                      <w:rFonts w:hint="eastAsia"/>
                      <w:color w:val="auto"/>
                      <w:lang w:eastAsia="zh-CN"/>
                    </w:rPr>
                    <w:t>新建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18" w:type="dxa"/>
                  <w:vAlign w:val="center"/>
                </w:tcPr>
                <w:p>
                  <w:pPr>
                    <w:adjustRightInd w:val="0"/>
                    <w:snapToGrid w:val="0"/>
                    <w:jc w:val="center"/>
                    <w:rPr>
                      <w:color w:val="auto"/>
                    </w:rPr>
                  </w:pPr>
                  <w:r>
                    <w:rPr>
                      <w:color w:val="auto"/>
                    </w:rPr>
                    <w:t>2</w:t>
                  </w:r>
                </w:p>
              </w:tc>
              <w:tc>
                <w:tcPr>
                  <w:tcW w:w="1255" w:type="dxa"/>
                  <w:vAlign w:val="center"/>
                </w:tcPr>
                <w:p>
                  <w:pPr>
                    <w:adjustRightInd w:val="0"/>
                    <w:snapToGrid w:val="0"/>
                    <w:jc w:val="center"/>
                    <w:rPr>
                      <w:color w:val="auto"/>
                    </w:rPr>
                  </w:pPr>
                  <w:r>
                    <w:rPr>
                      <w:rFonts w:hint="eastAsia"/>
                      <w:color w:val="auto"/>
                    </w:rPr>
                    <w:t>下河踏步</w:t>
                  </w:r>
                </w:p>
              </w:tc>
              <w:tc>
                <w:tcPr>
                  <w:tcW w:w="5278" w:type="dxa"/>
                  <w:tcBorders>
                    <w:right w:val="single" w:color="auto" w:sz="4" w:space="0"/>
                  </w:tcBorders>
                  <w:vAlign w:val="center"/>
                </w:tcPr>
                <w:p>
                  <w:pPr>
                    <w:adjustRightInd w:val="0"/>
                    <w:snapToGrid w:val="0"/>
                    <w:rPr>
                      <w:rFonts w:hint="eastAsia" w:eastAsia="宋体"/>
                      <w:color w:val="auto"/>
                      <w:lang w:eastAsia="zh-CN"/>
                    </w:rPr>
                  </w:pPr>
                  <w:r>
                    <w:rPr>
                      <w:rFonts w:hint="eastAsia"/>
                      <w:color w:val="auto"/>
                    </w:rPr>
                    <w:t>下河踏步4处</w:t>
                  </w:r>
                  <w:r>
                    <w:rPr>
                      <w:rFonts w:hint="eastAsia"/>
                      <w:color w:val="auto"/>
                      <w:lang w:eastAsia="zh-CN"/>
                    </w:rPr>
                    <w:t>，</w:t>
                  </w:r>
                  <w:r>
                    <w:rPr>
                      <w:rFonts w:hint="eastAsia"/>
                      <w:color w:val="auto"/>
                      <w:highlight w:val="none"/>
                    </w:rPr>
                    <w:t>踏步采用C20埋石混凝土（埋石率20%）浇筑，踏步净宽1.5m，台阶尺寸30cm×15cm。</w:t>
                  </w:r>
                </w:p>
              </w:tc>
              <w:tc>
                <w:tcPr>
                  <w:tcW w:w="907" w:type="dxa"/>
                  <w:tcBorders>
                    <w:left w:val="single" w:color="auto" w:sz="4" w:space="0"/>
                  </w:tcBorders>
                  <w:vAlign w:val="center"/>
                </w:tcPr>
                <w:p>
                  <w:pPr>
                    <w:adjustRightInd w:val="0"/>
                    <w:snapToGrid w:val="0"/>
                    <w:rPr>
                      <w:rFonts w:hint="eastAsia" w:eastAsia="宋体"/>
                      <w:color w:val="auto"/>
                      <w:lang w:eastAsia="zh-CN"/>
                    </w:rPr>
                  </w:pPr>
                  <w:r>
                    <w:rPr>
                      <w:rFonts w:hint="eastAsia"/>
                      <w:color w:val="auto"/>
                      <w:lang w:eastAsia="zh-CN"/>
                    </w:rPr>
                    <w:t>新建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18" w:type="dxa"/>
                  <w:vAlign w:val="center"/>
                </w:tcPr>
                <w:p>
                  <w:pPr>
                    <w:adjustRightInd w:val="0"/>
                    <w:snapToGrid w:val="0"/>
                    <w:jc w:val="center"/>
                    <w:rPr>
                      <w:rFonts w:hint="eastAsia" w:eastAsia="宋体"/>
                      <w:color w:val="auto"/>
                      <w:lang w:val="en-US" w:eastAsia="zh-CN"/>
                    </w:rPr>
                  </w:pPr>
                  <w:r>
                    <w:rPr>
                      <w:rFonts w:hint="eastAsia"/>
                      <w:color w:val="auto"/>
                      <w:lang w:val="en-US" w:eastAsia="zh-CN"/>
                    </w:rPr>
                    <w:t>3</w:t>
                  </w:r>
                </w:p>
              </w:tc>
              <w:tc>
                <w:tcPr>
                  <w:tcW w:w="1255" w:type="dxa"/>
                  <w:vAlign w:val="center"/>
                </w:tcPr>
                <w:p>
                  <w:pPr>
                    <w:adjustRightInd w:val="0"/>
                    <w:snapToGrid w:val="0"/>
                    <w:jc w:val="center"/>
                    <w:rPr>
                      <w:color w:val="auto"/>
                    </w:rPr>
                  </w:pPr>
                  <w:r>
                    <w:rPr>
                      <w:rFonts w:hint="eastAsia"/>
                      <w:color w:val="auto"/>
                      <w:highlight w:val="none"/>
                    </w:rPr>
                    <w:t>排涝涵管</w:t>
                  </w:r>
                </w:p>
              </w:tc>
              <w:tc>
                <w:tcPr>
                  <w:tcW w:w="5278" w:type="dxa"/>
                  <w:tcBorders>
                    <w:right w:val="single" w:color="auto" w:sz="4" w:space="0"/>
                  </w:tcBorders>
                  <w:vAlign w:val="center"/>
                </w:tcPr>
                <w:p>
                  <w:pPr>
                    <w:adjustRightInd w:val="0"/>
                    <w:snapToGrid w:val="0"/>
                    <w:rPr>
                      <w:rFonts w:hint="eastAsia" w:eastAsia="宋体"/>
                      <w:color w:val="auto"/>
                      <w:lang w:eastAsia="zh-CN"/>
                    </w:rPr>
                  </w:pPr>
                  <w:r>
                    <w:rPr>
                      <w:rFonts w:hint="eastAsia"/>
                      <w:color w:val="auto"/>
                      <w:highlight w:val="none"/>
                    </w:rPr>
                    <w:t>排涝涵管2处</w:t>
                  </w:r>
                  <w:r>
                    <w:rPr>
                      <w:rFonts w:hint="eastAsia"/>
                      <w:color w:val="auto"/>
                      <w:highlight w:val="none"/>
                      <w:lang w:eastAsia="zh-CN"/>
                    </w:rPr>
                    <w:t>，</w:t>
                  </w:r>
                  <w:r>
                    <w:rPr>
                      <w:color w:val="auto"/>
                      <w:highlight w:val="none"/>
                    </w:rPr>
                    <w:t>管道采用DN600钢筋混凝土管，管道壁厚60mm，每处排涝涵管长度为</w:t>
                  </w:r>
                  <w:r>
                    <w:rPr>
                      <w:rFonts w:hint="eastAsia"/>
                      <w:color w:val="auto"/>
                      <w:highlight w:val="none"/>
                    </w:rPr>
                    <w:t>4.0</w:t>
                  </w:r>
                  <w:r>
                    <w:rPr>
                      <w:color w:val="auto"/>
                      <w:highlight w:val="none"/>
                    </w:rPr>
                    <w:t>m，管基铺设30cm厚3:7灰土垫层，垫层上设置</w:t>
                  </w:r>
                  <w:r>
                    <w:rPr>
                      <w:rFonts w:hint="eastAsia"/>
                      <w:color w:val="auto"/>
                      <w:highlight w:val="none"/>
                    </w:rPr>
                    <w:t>28</w:t>
                  </w:r>
                  <w:r>
                    <w:rPr>
                      <w:color w:val="auto"/>
                      <w:highlight w:val="none"/>
                    </w:rPr>
                    <w:t>cm厚C20混凝土管床</w:t>
                  </w:r>
                  <w:r>
                    <w:rPr>
                      <w:rFonts w:hint="eastAsia"/>
                      <w:color w:val="auto"/>
                      <w:highlight w:val="none"/>
                      <w:lang w:eastAsia="zh-CN"/>
                    </w:rPr>
                    <w:t>。</w:t>
                  </w:r>
                </w:p>
              </w:tc>
              <w:tc>
                <w:tcPr>
                  <w:tcW w:w="907" w:type="dxa"/>
                  <w:tcBorders>
                    <w:left w:val="single" w:color="auto" w:sz="4" w:space="0"/>
                  </w:tcBorders>
                  <w:vAlign w:val="center"/>
                </w:tcPr>
                <w:p>
                  <w:pPr>
                    <w:adjustRightInd w:val="0"/>
                    <w:snapToGrid w:val="0"/>
                    <w:rPr>
                      <w:color w:val="auto"/>
                    </w:rPr>
                  </w:pPr>
                  <w:r>
                    <w:rPr>
                      <w:rFonts w:hint="eastAsia"/>
                      <w:color w:val="auto"/>
                      <w:lang w:eastAsia="zh-CN"/>
                    </w:rPr>
                    <w:t>新建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18" w:type="dxa"/>
                  <w:vAlign w:val="center"/>
                </w:tcPr>
                <w:p>
                  <w:pPr>
                    <w:adjustRightInd w:val="0"/>
                    <w:snapToGrid w:val="0"/>
                    <w:jc w:val="center"/>
                    <w:rPr>
                      <w:color w:val="auto"/>
                    </w:rPr>
                  </w:pPr>
                  <w:r>
                    <w:rPr>
                      <w:color w:val="auto"/>
                    </w:rPr>
                    <w:t>三</w:t>
                  </w:r>
                </w:p>
              </w:tc>
              <w:tc>
                <w:tcPr>
                  <w:tcW w:w="6533" w:type="dxa"/>
                  <w:gridSpan w:val="2"/>
                  <w:tcBorders>
                    <w:right w:val="single" w:color="auto" w:sz="4" w:space="0"/>
                  </w:tcBorders>
                  <w:vAlign w:val="center"/>
                </w:tcPr>
                <w:p>
                  <w:pPr>
                    <w:adjustRightInd w:val="0"/>
                    <w:snapToGrid w:val="0"/>
                    <w:jc w:val="center"/>
                    <w:rPr>
                      <w:color w:val="auto"/>
                    </w:rPr>
                  </w:pPr>
                  <w:r>
                    <w:rPr>
                      <w:color w:val="auto"/>
                    </w:rPr>
                    <w:t>临时工程</w:t>
                  </w:r>
                </w:p>
              </w:tc>
              <w:tc>
                <w:tcPr>
                  <w:tcW w:w="907" w:type="dxa"/>
                  <w:tcBorders>
                    <w:left w:val="single" w:color="auto" w:sz="4" w:space="0"/>
                  </w:tcBorders>
                  <w:vAlign w:val="center"/>
                </w:tcPr>
                <w:p>
                  <w:pPr>
                    <w:adjustRightInd w:val="0"/>
                    <w:snapToGrid w:val="0"/>
                    <w:jc w:val="center"/>
                    <w:rPr>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4" w:hRule="atLeast"/>
                <w:jc w:val="center"/>
              </w:trPr>
              <w:tc>
                <w:tcPr>
                  <w:tcW w:w="718" w:type="dxa"/>
                  <w:vAlign w:val="center"/>
                </w:tcPr>
                <w:p>
                  <w:pPr>
                    <w:adjustRightInd w:val="0"/>
                    <w:snapToGrid w:val="0"/>
                    <w:jc w:val="center"/>
                    <w:rPr>
                      <w:color w:val="auto"/>
                    </w:rPr>
                  </w:pPr>
                  <w:r>
                    <w:rPr>
                      <w:color w:val="auto"/>
                    </w:rPr>
                    <w:t>1</w:t>
                  </w:r>
                </w:p>
              </w:tc>
              <w:tc>
                <w:tcPr>
                  <w:tcW w:w="1255" w:type="dxa"/>
                  <w:vAlign w:val="center"/>
                </w:tcPr>
                <w:p>
                  <w:pPr>
                    <w:widowControl/>
                    <w:adjustRightInd w:val="0"/>
                    <w:snapToGrid w:val="0"/>
                    <w:jc w:val="center"/>
                    <w:rPr>
                      <w:rFonts w:hint="eastAsia" w:ascii="Times New Roman" w:hAnsi="Times New Roman" w:eastAsia="宋体" w:cs="Times New Roman"/>
                      <w:color w:val="auto"/>
                      <w:kern w:val="2"/>
                      <w:sz w:val="21"/>
                      <w:szCs w:val="24"/>
                      <w:lang w:val="en-US" w:eastAsia="zh-CN" w:bidi="ar-SA"/>
                    </w:rPr>
                  </w:pPr>
                  <w:r>
                    <w:rPr>
                      <w:color w:val="auto"/>
                    </w:rPr>
                    <w:t>拌和站</w:t>
                  </w:r>
                  <w:r>
                    <w:rPr>
                      <w:rFonts w:hint="eastAsia"/>
                      <w:color w:val="auto"/>
                      <w:lang w:eastAsia="zh-CN"/>
                    </w:rPr>
                    <w:t>、临时仓库、临时停车上</w:t>
                  </w:r>
                </w:p>
              </w:tc>
              <w:tc>
                <w:tcPr>
                  <w:tcW w:w="5278" w:type="dxa"/>
                  <w:tcBorders>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420" w:firstLineChars="200"/>
                    <w:textAlignment w:val="auto"/>
                    <w:rPr>
                      <w:rFonts w:ascii="Times New Roman" w:hAnsi="Times New Roman" w:eastAsia="宋体" w:cs="Times New Roman"/>
                      <w:color w:val="auto"/>
                      <w:kern w:val="2"/>
                      <w:sz w:val="21"/>
                      <w:szCs w:val="24"/>
                      <w:lang w:val="en-US" w:eastAsia="zh-CN" w:bidi="ar-SA"/>
                    </w:rPr>
                  </w:pPr>
                  <w:r>
                    <w:rPr>
                      <w:rFonts w:hint="eastAsia"/>
                      <w:b w:val="0"/>
                      <w:bCs w:val="0"/>
                      <w:color w:val="auto"/>
                      <w:sz w:val="21"/>
                      <w:szCs w:val="21"/>
                      <w:highlight w:val="none"/>
                      <w:lang w:eastAsia="zh-CN"/>
                    </w:rPr>
                    <w:t>每段设</w:t>
                  </w:r>
                  <w:r>
                    <w:rPr>
                      <w:rFonts w:hint="eastAsia"/>
                      <w:b w:val="0"/>
                      <w:bCs w:val="0"/>
                      <w:color w:val="auto"/>
                      <w:sz w:val="21"/>
                      <w:szCs w:val="21"/>
                      <w:highlight w:val="none"/>
                      <w:lang w:val="en-US" w:eastAsia="zh-CN"/>
                    </w:rPr>
                    <w:t>1</w:t>
                  </w:r>
                  <w:r>
                    <w:rPr>
                      <w:rFonts w:hint="eastAsia"/>
                      <w:b w:val="0"/>
                      <w:bCs w:val="0"/>
                      <w:color w:val="auto"/>
                      <w:sz w:val="21"/>
                      <w:szCs w:val="21"/>
                      <w:highlight w:val="none"/>
                      <w:lang w:eastAsia="zh-CN"/>
                    </w:rPr>
                    <w:t>处</w:t>
                  </w:r>
                  <w:r>
                    <w:rPr>
                      <w:b w:val="0"/>
                      <w:bCs w:val="0"/>
                      <w:color w:val="auto"/>
                      <w:sz w:val="21"/>
                      <w:szCs w:val="21"/>
                      <w:highlight w:val="none"/>
                    </w:rPr>
                    <w:t>拌和站</w:t>
                  </w:r>
                  <w:r>
                    <w:rPr>
                      <w:rFonts w:hint="eastAsia"/>
                      <w:b w:val="0"/>
                      <w:bCs w:val="0"/>
                      <w:color w:val="auto"/>
                      <w:sz w:val="21"/>
                      <w:szCs w:val="21"/>
                      <w:highlight w:val="none"/>
                      <w:lang w:eastAsia="zh-CN"/>
                    </w:rPr>
                    <w:t>、临时仓库和临时停车，</w:t>
                  </w:r>
                  <w:r>
                    <w:rPr>
                      <w:b w:val="0"/>
                      <w:bCs w:val="0"/>
                      <w:color w:val="auto"/>
                      <w:sz w:val="21"/>
                      <w:szCs w:val="21"/>
                      <w:highlight w:val="none"/>
                    </w:rPr>
                    <w:t>共</w:t>
                  </w:r>
                  <w:r>
                    <w:rPr>
                      <w:rFonts w:hint="eastAsia"/>
                      <w:b w:val="0"/>
                      <w:bCs w:val="0"/>
                      <w:color w:val="auto"/>
                      <w:sz w:val="21"/>
                      <w:szCs w:val="21"/>
                      <w:highlight w:val="none"/>
                      <w:lang w:val="en-US" w:eastAsia="zh-CN"/>
                    </w:rPr>
                    <w:t>7</w:t>
                  </w:r>
                  <w:r>
                    <w:rPr>
                      <w:b w:val="0"/>
                      <w:bCs w:val="0"/>
                      <w:color w:val="auto"/>
                      <w:sz w:val="21"/>
                      <w:szCs w:val="21"/>
                      <w:highlight w:val="none"/>
                    </w:rPr>
                    <w:t>处</w:t>
                  </w:r>
                  <w:r>
                    <w:rPr>
                      <w:rFonts w:hint="eastAsia"/>
                      <w:b w:val="0"/>
                      <w:bCs w:val="0"/>
                      <w:color w:val="auto"/>
                      <w:sz w:val="21"/>
                      <w:szCs w:val="21"/>
                      <w:highlight w:val="none"/>
                      <w:lang w:eastAsia="zh-CN"/>
                    </w:rPr>
                    <w:t>（其中柏杨林、桃园</w:t>
                  </w:r>
                  <w:r>
                    <w:rPr>
                      <w:rFonts w:hint="default"/>
                      <w:b w:val="0"/>
                      <w:bCs w:val="0"/>
                      <w:color w:val="auto"/>
                      <w:sz w:val="21"/>
                      <w:szCs w:val="21"/>
                      <w:highlight w:val="none"/>
                      <w:lang w:eastAsia="zh-CN"/>
                    </w:rPr>
                    <w:t>村段</w:t>
                  </w:r>
                  <w:r>
                    <w:rPr>
                      <w:rFonts w:hint="eastAsia"/>
                      <w:b w:val="0"/>
                      <w:bCs w:val="0"/>
                      <w:color w:val="auto"/>
                      <w:sz w:val="21"/>
                      <w:szCs w:val="21"/>
                      <w:highlight w:val="none"/>
                      <w:lang w:eastAsia="zh-CN"/>
                    </w:rPr>
                    <w:t>）</w:t>
                  </w:r>
                  <w:r>
                    <w:rPr>
                      <w:b w:val="0"/>
                      <w:bCs w:val="0"/>
                      <w:color w:val="auto"/>
                      <w:sz w:val="21"/>
                      <w:szCs w:val="21"/>
                      <w:highlight w:val="none"/>
                    </w:rPr>
                    <w:t>，总共布置施工</w:t>
                  </w:r>
                  <w:r>
                    <w:rPr>
                      <w:rFonts w:hint="eastAsia"/>
                      <w:b w:val="0"/>
                      <w:bCs w:val="0"/>
                      <w:color w:val="auto"/>
                      <w:sz w:val="21"/>
                      <w:szCs w:val="21"/>
                      <w:highlight w:val="none"/>
                    </w:rPr>
                    <w:t>临时</w:t>
                  </w:r>
                  <w:r>
                    <w:rPr>
                      <w:b w:val="0"/>
                      <w:bCs w:val="0"/>
                      <w:color w:val="auto"/>
                      <w:sz w:val="21"/>
                      <w:szCs w:val="21"/>
                      <w:highlight w:val="none"/>
                    </w:rPr>
                    <w:t>场</w:t>
                  </w:r>
                  <w:r>
                    <w:rPr>
                      <w:rFonts w:hint="eastAsia"/>
                      <w:b w:val="0"/>
                      <w:bCs w:val="0"/>
                      <w:color w:val="auto"/>
                      <w:sz w:val="21"/>
                      <w:szCs w:val="21"/>
                      <w:highlight w:val="none"/>
                    </w:rPr>
                    <w:t>地</w:t>
                  </w:r>
                  <w:r>
                    <w:rPr>
                      <w:rFonts w:hint="eastAsia"/>
                      <w:b w:val="0"/>
                      <w:bCs w:val="0"/>
                      <w:color w:val="auto"/>
                      <w:sz w:val="21"/>
                      <w:szCs w:val="21"/>
                      <w:highlight w:val="none"/>
                      <w:lang w:val="en-US" w:eastAsia="zh-CN"/>
                    </w:rPr>
                    <w:t>35</w:t>
                  </w:r>
                  <w:r>
                    <w:rPr>
                      <w:rFonts w:hint="eastAsia"/>
                      <w:b w:val="0"/>
                      <w:bCs w:val="0"/>
                      <w:color w:val="auto"/>
                      <w:sz w:val="21"/>
                      <w:szCs w:val="21"/>
                      <w:highlight w:val="none"/>
                    </w:rPr>
                    <w:t>00</w:t>
                  </w:r>
                  <w:r>
                    <w:rPr>
                      <w:b w:val="0"/>
                      <w:bCs w:val="0"/>
                      <w:color w:val="auto"/>
                      <w:sz w:val="21"/>
                      <w:szCs w:val="21"/>
                      <w:highlight w:val="none"/>
                    </w:rPr>
                    <w:t>m</w:t>
                  </w:r>
                  <w:r>
                    <w:rPr>
                      <w:b w:val="0"/>
                      <w:bCs w:val="0"/>
                      <w:color w:val="auto"/>
                      <w:sz w:val="21"/>
                      <w:szCs w:val="21"/>
                      <w:highlight w:val="none"/>
                      <w:vertAlign w:val="superscript"/>
                    </w:rPr>
                    <w:t>2</w:t>
                  </w:r>
                  <w:r>
                    <w:rPr>
                      <w:b w:val="0"/>
                      <w:bCs w:val="0"/>
                      <w:color w:val="auto"/>
                      <w:sz w:val="21"/>
                      <w:szCs w:val="21"/>
                      <w:highlight w:val="none"/>
                    </w:rPr>
                    <w:t>，</w:t>
                  </w:r>
                  <w:r>
                    <w:rPr>
                      <w:rFonts w:hint="eastAsia"/>
                      <w:b w:val="0"/>
                      <w:bCs w:val="0"/>
                      <w:color w:val="auto"/>
                      <w:sz w:val="21"/>
                      <w:szCs w:val="21"/>
                      <w:highlight w:val="none"/>
                    </w:rPr>
                    <w:t>每段布置施工临时场地500</w:t>
                  </w:r>
                  <w:r>
                    <w:rPr>
                      <w:b w:val="0"/>
                      <w:bCs w:val="0"/>
                      <w:color w:val="auto"/>
                      <w:sz w:val="21"/>
                      <w:szCs w:val="21"/>
                      <w:highlight w:val="none"/>
                    </w:rPr>
                    <w:t>m</w:t>
                  </w:r>
                  <w:r>
                    <w:rPr>
                      <w:b w:val="0"/>
                      <w:bCs w:val="0"/>
                      <w:color w:val="auto"/>
                      <w:sz w:val="21"/>
                      <w:szCs w:val="21"/>
                      <w:highlight w:val="none"/>
                      <w:vertAlign w:val="superscript"/>
                    </w:rPr>
                    <w:t>2</w:t>
                  </w:r>
                  <w:r>
                    <w:rPr>
                      <w:rFonts w:hint="eastAsia"/>
                      <w:b w:val="0"/>
                      <w:bCs w:val="0"/>
                      <w:color w:val="auto"/>
                      <w:sz w:val="21"/>
                      <w:szCs w:val="21"/>
                      <w:highlight w:val="none"/>
                    </w:rPr>
                    <w:t>，施工临时场地</w:t>
                  </w:r>
                  <w:r>
                    <w:rPr>
                      <w:b w:val="0"/>
                      <w:bCs w:val="0"/>
                      <w:color w:val="auto"/>
                      <w:sz w:val="21"/>
                      <w:szCs w:val="21"/>
                      <w:highlight w:val="none"/>
                    </w:rPr>
                    <w:t>设置</w:t>
                  </w:r>
                  <w:r>
                    <w:rPr>
                      <w:rFonts w:hint="eastAsia"/>
                      <w:b w:val="0"/>
                      <w:bCs w:val="0"/>
                      <w:color w:val="auto"/>
                      <w:sz w:val="21"/>
                      <w:szCs w:val="21"/>
                      <w:highlight w:val="none"/>
                    </w:rPr>
                    <w:t>砂浆拌合站200</w:t>
                  </w:r>
                  <w:r>
                    <w:rPr>
                      <w:b w:val="0"/>
                      <w:bCs w:val="0"/>
                      <w:color w:val="auto"/>
                      <w:sz w:val="21"/>
                      <w:szCs w:val="21"/>
                      <w:highlight w:val="none"/>
                    </w:rPr>
                    <w:t>m</w:t>
                  </w:r>
                  <w:r>
                    <w:rPr>
                      <w:b w:val="0"/>
                      <w:bCs w:val="0"/>
                      <w:color w:val="auto"/>
                      <w:sz w:val="21"/>
                      <w:szCs w:val="21"/>
                      <w:highlight w:val="none"/>
                      <w:vertAlign w:val="superscript"/>
                    </w:rPr>
                    <w:t>2</w:t>
                  </w:r>
                  <w:r>
                    <w:rPr>
                      <w:b w:val="0"/>
                      <w:bCs w:val="0"/>
                      <w:color w:val="auto"/>
                      <w:sz w:val="21"/>
                      <w:szCs w:val="21"/>
                      <w:highlight w:val="none"/>
                    </w:rPr>
                    <w:t>，</w:t>
                  </w:r>
                  <w:r>
                    <w:rPr>
                      <w:rFonts w:hint="eastAsia"/>
                      <w:b w:val="0"/>
                      <w:bCs w:val="0"/>
                      <w:color w:val="auto"/>
                      <w:sz w:val="21"/>
                      <w:szCs w:val="21"/>
                      <w:highlight w:val="none"/>
                    </w:rPr>
                    <w:t>临时仓库150</w:t>
                  </w:r>
                  <w:r>
                    <w:rPr>
                      <w:b w:val="0"/>
                      <w:bCs w:val="0"/>
                      <w:color w:val="auto"/>
                      <w:sz w:val="21"/>
                      <w:szCs w:val="21"/>
                      <w:highlight w:val="none"/>
                    </w:rPr>
                    <w:t>m</w:t>
                  </w:r>
                  <w:r>
                    <w:rPr>
                      <w:b w:val="0"/>
                      <w:bCs w:val="0"/>
                      <w:color w:val="auto"/>
                      <w:sz w:val="21"/>
                      <w:szCs w:val="21"/>
                      <w:highlight w:val="none"/>
                      <w:vertAlign w:val="superscript"/>
                    </w:rPr>
                    <w:t>2</w:t>
                  </w:r>
                  <w:r>
                    <w:rPr>
                      <w:b w:val="0"/>
                      <w:bCs w:val="0"/>
                      <w:color w:val="auto"/>
                      <w:sz w:val="21"/>
                      <w:szCs w:val="21"/>
                      <w:highlight w:val="none"/>
                    </w:rPr>
                    <w:t>，</w:t>
                  </w:r>
                  <w:r>
                    <w:rPr>
                      <w:rFonts w:hint="eastAsia"/>
                      <w:b w:val="0"/>
                      <w:bCs w:val="0"/>
                      <w:color w:val="auto"/>
                      <w:sz w:val="21"/>
                      <w:szCs w:val="21"/>
                      <w:highlight w:val="none"/>
                    </w:rPr>
                    <w:t>临时停车场150</w:t>
                  </w:r>
                  <w:r>
                    <w:rPr>
                      <w:b w:val="0"/>
                      <w:bCs w:val="0"/>
                      <w:color w:val="auto"/>
                      <w:sz w:val="21"/>
                      <w:szCs w:val="21"/>
                      <w:highlight w:val="none"/>
                    </w:rPr>
                    <w:t>m</w:t>
                  </w:r>
                  <w:r>
                    <w:rPr>
                      <w:b w:val="0"/>
                      <w:bCs w:val="0"/>
                      <w:color w:val="auto"/>
                      <w:sz w:val="21"/>
                      <w:szCs w:val="21"/>
                      <w:highlight w:val="none"/>
                      <w:vertAlign w:val="superscript"/>
                    </w:rPr>
                    <w:t>2</w:t>
                  </w:r>
                  <w:r>
                    <w:rPr>
                      <w:rFonts w:hint="eastAsia"/>
                      <w:b w:val="0"/>
                      <w:bCs w:val="0"/>
                      <w:color w:val="auto"/>
                      <w:sz w:val="21"/>
                      <w:szCs w:val="21"/>
                      <w:highlight w:val="none"/>
                      <w:lang w:eastAsia="zh-CN"/>
                    </w:rPr>
                    <w:t>。</w:t>
                  </w:r>
                </w:p>
              </w:tc>
              <w:tc>
                <w:tcPr>
                  <w:tcW w:w="907" w:type="dxa"/>
                  <w:tcBorders>
                    <w:left w:val="single" w:color="auto" w:sz="4" w:space="0"/>
                  </w:tcBorders>
                  <w:vAlign w:val="center"/>
                </w:tcPr>
                <w:p>
                  <w:pPr>
                    <w:adjustRightInd w:val="0"/>
                    <w:snapToGrid w:val="0"/>
                    <w:rPr>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18" w:type="dxa"/>
                  <w:vAlign w:val="center"/>
                </w:tcPr>
                <w:p>
                  <w:pPr>
                    <w:adjustRightInd w:val="0"/>
                    <w:snapToGrid w:val="0"/>
                    <w:jc w:val="center"/>
                    <w:rPr>
                      <w:color w:val="auto"/>
                    </w:rPr>
                  </w:pPr>
                  <w:r>
                    <w:rPr>
                      <w:color w:val="auto"/>
                    </w:rPr>
                    <w:t>2</w:t>
                  </w:r>
                </w:p>
              </w:tc>
              <w:tc>
                <w:tcPr>
                  <w:tcW w:w="1255" w:type="dxa"/>
                  <w:vAlign w:val="center"/>
                </w:tcPr>
                <w:p>
                  <w:pPr>
                    <w:widowControl/>
                    <w:adjustRightInd w:val="0"/>
                    <w:snapToGrid w:val="0"/>
                    <w:jc w:val="center"/>
                    <w:rPr>
                      <w:rFonts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施工营地</w:t>
                  </w:r>
                </w:p>
              </w:tc>
              <w:tc>
                <w:tcPr>
                  <w:tcW w:w="5278" w:type="dxa"/>
                  <w:tcBorders>
                    <w:right w:val="single" w:color="auto" w:sz="4" w:space="0"/>
                  </w:tcBorders>
                  <w:vAlign w:val="center"/>
                </w:tcPr>
                <w:p>
                  <w:pPr>
                    <w:adjustRightInd w:val="0"/>
                    <w:snapToGrid w:val="0"/>
                    <w:rPr>
                      <w:rFonts w:ascii="Times New Roman" w:hAnsi="Times New Roman" w:eastAsia="宋体" w:cs="Times New Roman"/>
                      <w:color w:val="auto"/>
                      <w:kern w:val="2"/>
                      <w:sz w:val="21"/>
                      <w:szCs w:val="24"/>
                      <w:lang w:val="en-US" w:eastAsia="zh-CN" w:bidi="ar-SA"/>
                    </w:rPr>
                  </w:pPr>
                  <w:r>
                    <w:rPr>
                      <w:color w:val="auto"/>
                    </w:rPr>
                    <w:t>项目施工期大部分施工人员可租住在附近居民楼、村寨或自己居所，因此本项目不设置施工营地，通过在道路沿线的居民区租用当地居民房屋解决</w:t>
                  </w:r>
                </w:p>
              </w:tc>
              <w:tc>
                <w:tcPr>
                  <w:tcW w:w="907" w:type="dxa"/>
                  <w:tcBorders>
                    <w:left w:val="single" w:color="auto" w:sz="4" w:space="0"/>
                  </w:tcBorders>
                  <w:vAlign w:val="center"/>
                </w:tcPr>
                <w:p>
                  <w:pPr>
                    <w:adjustRightInd w:val="0"/>
                    <w:snapToGrid w:val="0"/>
                    <w:rPr>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18" w:type="dxa"/>
                  <w:vAlign w:val="center"/>
                </w:tcPr>
                <w:p>
                  <w:pPr>
                    <w:adjustRightInd w:val="0"/>
                    <w:snapToGrid w:val="0"/>
                    <w:jc w:val="center"/>
                    <w:rPr>
                      <w:rFonts w:hint="eastAsia"/>
                      <w:color w:val="auto"/>
                      <w:lang w:val="en-US" w:eastAsia="zh-CN"/>
                    </w:rPr>
                  </w:pPr>
                  <w:r>
                    <w:rPr>
                      <w:rFonts w:hint="eastAsia"/>
                      <w:color w:val="auto"/>
                      <w:lang w:val="en-US" w:eastAsia="zh-CN"/>
                    </w:rPr>
                    <w:t>四</w:t>
                  </w:r>
                </w:p>
              </w:tc>
              <w:tc>
                <w:tcPr>
                  <w:tcW w:w="7440" w:type="dxa"/>
                  <w:gridSpan w:val="3"/>
                  <w:vAlign w:val="center"/>
                </w:tcPr>
                <w:p>
                  <w:pPr>
                    <w:adjustRightInd w:val="0"/>
                    <w:snapToGrid w:val="0"/>
                    <w:rPr>
                      <w:rFonts w:hint="eastAsia"/>
                      <w:color w:val="auto"/>
                      <w:lang w:val="en-US" w:eastAsia="zh-CN"/>
                    </w:rPr>
                  </w:pPr>
                  <w:r>
                    <w:rPr>
                      <w:rFonts w:hint="eastAsia"/>
                      <w:color w:val="auto"/>
                      <w:lang w:val="en-US" w:eastAsia="zh-CN"/>
                    </w:rPr>
                    <w:t>公用工程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18" w:type="dxa"/>
                  <w:vAlign w:val="center"/>
                </w:tcPr>
                <w:p>
                  <w:pPr>
                    <w:adjustRightInd w:val="0"/>
                    <w:snapToGrid w:val="0"/>
                    <w:jc w:val="center"/>
                    <w:rPr>
                      <w:rFonts w:hint="default"/>
                      <w:color w:val="auto"/>
                      <w:lang w:val="en-US" w:eastAsia="zh-CN"/>
                    </w:rPr>
                  </w:pPr>
                  <w:r>
                    <w:rPr>
                      <w:rFonts w:hint="eastAsia"/>
                      <w:color w:val="auto"/>
                      <w:lang w:val="en-US" w:eastAsia="zh-CN"/>
                    </w:rPr>
                    <w:t>1</w:t>
                  </w:r>
                </w:p>
              </w:tc>
              <w:tc>
                <w:tcPr>
                  <w:tcW w:w="1255" w:type="dxa"/>
                  <w:vAlign w:val="center"/>
                </w:tcPr>
                <w:p>
                  <w:pPr>
                    <w:widowControl/>
                    <w:adjustRightInd w:val="0"/>
                    <w:snapToGrid w:val="0"/>
                    <w:jc w:val="center"/>
                    <w:rPr>
                      <w:rFonts w:hint="default"/>
                      <w:color w:val="auto"/>
                      <w:lang w:val="en-US" w:eastAsia="zh-CN"/>
                    </w:rPr>
                  </w:pPr>
                  <w:r>
                    <w:rPr>
                      <w:rFonts w:hint="eastAsia"/>
                      <w:color w:val="auto"/>
                      <w:lang w:val="en-US" w:eastAsia="zh-CN"/>
                    </w:rPr>
                    <w:t>给水</w:t>
                  </w:r>
                </w:p>
              </w:tc>
              <w:tc>
                <w:tcPr>
                  <w:tcW w:w="5278" w:type="dxa"/>
                  <w:tcBorders>
                    <w:right w:val="single" w:color="auto" w:sz="4" w:space="0"/>
                  </w:tcBorders>
                  <w:vAlign w:val="center"/>
                </w:tcPr>
                <w:p>
                  <w:pPr>
                    <w:keepNext w:val="0"/>
                    <w:keepLines w:val="0"/>
                    <w:widowControl/>
                    <w:suppressLineNumbers w:val="0"/>
                    <w:jc w:val="left"/>
                    <w:rPr>
                      <w:color w:val="auto"/>
                    </w:rPr>
                  </w:pPr>
                  <w:r>
                    <w:rPr>
                      <w:rFonts w:hint="eastAsia"/>
                      <w:color w:val="auto"/>
                      <w:lang w:val="en-US" w:eastAsia="zh-CN"/>
                    </w:rPr>
                    <w:t>生活用水依托区域现有自来水管网，生产用水就近取河水。</w:t>
                  </w:r>
                </w:p>
              </w:tc>
              <w:tc>
                <w:tcPr>
                  <w:tcW w:w="907" w:type="dxa"/>
                  <w:tcBorders>
                    <w:left w:val="single" w:color="auto" w:sz="4" w:space="0"/>
                  </w:tcBorders>
                  <w:vAlign w:val="center"/>
                </w:tcPr>
                <w:p>
                  <w:pPr>
                    <w:keepNext w:val="0"/>
                    <w:keepLines w:val="0"/>
                    <w:widowControl/>
                    <w:suppressLineNumbers w:val="0"/>
                    <w:jc w:val="left"/>
                    <w:rPr>
                      <w:rFonts w:hint="default"/>
                      <w:color w:val="auto"/>
                      <w:lang w:val="en-US" w:eastAsia="zh-CN"/>
                    </w:rPr>
                  </w:pPr>
                  <w:r>
                    <w:rPr>
                      <w:rFonts w:hint="eastAsia"/>
                      <w:color w:val="auto"/>
                      <w:lang w:val="en-US" w:eastAsia="zh-CN"/>
                    </w:rPr>
                    <w:t>依托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18" w:type="dxa"/>
                  <w:vAlign w:val="center"/>
                </w:tcPr>
                <w:p>
                  <w:pPr>
                    <w:adjustRightInd w:val="0"/>
                    <w:snapToGrid w:val="0"/>
                    <w:jc w:val="center"/>
                    <w:rPr>
                      <w:rFonts w:hint="default"/>
                      <w:color w:val="auto"/>
                      <w:lang w:val="en-US" w:eastAsia="zh-CN"/>
                    </w:rPr>
                  </w:pPr>
                  <w:r>
                    <w:rPr>
                      <w:rFonts w:hint="eastAsia"/>
                      <w:color w:val="auto"/>
                      <w:lang w:val="en-US" w:eastAsia="zh-CN"/>
                    </w:rPr>
                    <w:t>2</w:t>
                  </w:r>
                </w:p>
              </w:tc>
              <w:tc>
                <w:tcPr>
                  <w:tcW w:w="1255" w:type="dxa"/>
                  <w:vAlign w:val="center"/>
                </w:tcPr>
                <w:p>
                  <w:pPr>
                    <w:widowControl/>
                    <w:adjustRightInd w:val="0"/>
                    <w:snapToGrid w:val="0"/>
                    <w:jc w:val="center"/>
                    <w:rPr>
                      <w:rFonts w:hint="eastAsia"/>
                      <w:color w:val="auto"/>
                      <w:lang w:val="en-US" w:eastAsia="zh-CN"/>
                    </w:rPr>
                  </w:pPr>
                  <w:r>
                    <w:rPr>
                      <w:rFonts w:hint="eastAsia"/>
                      <w:color w:val="auto"/>
                      <w:lang w:val="en-US" w:eastAsia="zh-CN"/>
                    </w:rPr>
                    <w:t>排水</w:t>
                  </w:r>
                </w:p>
              </w:tc>
              <w:tc>
                <w:tcPr>
                  <w:tcW w:w="5278" w:type="dxa"/>
                  <w:tcBorders>
                    <w:right w:val="single" w:color="auto" w:sz="4" w:space="0"/>
                  </w:tcBorders>
                  <w:vAlign w:val="center"/>
                </w:tcPr>
                <w:p>
                  <w:pPr>
                    <w:keepNext w:val="0"/>
                    <w:keepLines w:val="0"/>
                    <w:widowControl/>
                    <w:suppressLineNumbers w:val="0"/>
                    <w:jc w:val="left"/>
                    <w:rPr>
                      <w:color w:val="auto"/>
                    </w:rPr>
                  </w:pPr>
                  <w:r>
                    <w:rPr>
                      <w:rFonts w:hint="eastAsia"/>
                      <w:color w:val="auto"/>
                      <w:lang w:val="en-US" w:eastAsia="zh-CN"/>
                    </w:rPr>
                    <w:t xml:space="preserve">施工期员工生活污水依托附近租赁居民家旱厕，定期清掏，用于农肥。 </w:t>
                  </w:r>
                </w:p>
              </w:tc>
              <w:tc>
                <w:tcPr>
                  <w:tcW w:w="907" w:type="dxa"/>
                  <w:tcBorders>
                    <w:left w:val="single" w:color="auto" w:sz="4" w:space="0"/>
                  </w:tcBorders>
                  <w:vAlign w:val="center"/>
                </w:tcPr>
                <w:p>
                  <w:pPr>
                    <w:keepNext w:val="0"/>
                    <w:keepLines w:val="0"/>
                    <w:widowControl/>
                    <w:suppressLineNumbers w:val="0"/>
                    <w:jc w:val="left"/>
                    <w:rPr>
                      <w:rFonts w:hint="default"/>
                      <w:color w:val="auto"/>
                      <w:lang w:val="en-US" w:eastAsia="zh-CN"/>
                    </w:rPr>
                  </w:pPr>
                  <w:r>
                    <w:rPr>
                      <w:rFonts w:hint="eastAsia"/>
                      <w:color w:val="auto"/>
                      <w:lang w:val="en-US" w:eastAsia="zh-CN"/>
                    </w:rPr>
                    <w:t xml:space="preserve">依托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18" w:type="dxa"/>
                  <w:vAlign w:val="center"/>
                </w:tcPr>
                <w:p>
                  <w:pPr>
                    <w:adjustRightInd w:val="0"/>
                    <w:snapToGrid w:val="0"/>
                    <w:jc w:val="center"/>
                    <w:rPr>
                      <w:rFonts w:hint="eastAsia"/>
                      <w:color w:val="auto"/>
                      <w:lang w:val="en-US" w:eastAsia="zh-CN"/>
                    </w:rPr>
                  </w:pPr>
                  <w:r>
                    <w:rPr>
                      <w:rFonts w:hint="eastAsia"/>
                      <w:color w:val="auto"/>
                      <w:lang w:val="en-US" w:eastAsia="zh-CN"/>
                    </w:rPr>
                    <w:t>3</w:t>
                  </w:r>
                </w:p>
              </w:tc>
              <w:tc>
                <w:tcPr>
                  <w:tcW w:w="1255" w:type="dxa"/>
                  <w:vAlign w:val="center"/>
                </w:tcPr>
                <w:p>
                  <w:pPr>
                    <w:widowControl/>
                    <w:adjustRightInd w:val="0"/>
                    <w:snapToGrid w:val="0"/>
                    <w:jc w:val="center"/>
                    <w:rPr>
                      <w:rFonts w:hint="eastAsia"/>
                      <w:color w:val="auto"/>
                      <w:lang w:val="en-US" w:eastAsia="zh-CN"/>
                    </w:rPr>
                  </w:pPr>
                  <w:r>
                    <w:rPr>
                      <w:rFonts w:hint="eastAsia"/>
                      <w:color w:val="auto"/>
                      <w:lang w:val="en-US" w:eastAsia="zh-CN"/>
                    </w:rPr>
                    <w:t>供电</w:t>
                  </w:r>
                </w:p>
              </w:tc>
              <w:tc>
                <w:tcPr>
                  <w:tcW w:w="5278" w:type="dxa"/>
                  <w:tcBorders>
                    <w:right w:val="single" w:color="auto" w:sz="4" w:space="0"/>
                  </w:tcBorders>
                  <w:vAlign w:val="center"/>
                </w:tcPr>
                <w:p>
                  <w:pPr>
                    <w:keepNext w:val="0"/>
                    <w:keepLines w:val="0"/>
                    <w:widowControl/>
                    <w:suppressLineNumbers w:val="0"/>
                    <w:jc w:val="left"/>
                    <w:rPr>
                      <w:color w:val="auto"/>
                    </w:rPr>
                  </w:pPr>
                  <w:r>
                    <w:rPr>
                      <w:rFonts w:hint="eastAsia"/>
                      <w:color w:val="auto"/>
                      <w:lang w:val="en-US" w:eastAsia="zh-CN"/>
                    </w:rPr>
                    <w:t>施工场地附近市政电网接入</w:t>
                  </w:r>
                </w:p>
              </w:tc>
              <w:tc>
                <w:tcPr>
                  <w:tcW w:w="907" w:type="dxa"/>
                  <w:tcBorders>
                    <w:left w:val="single" w:color="auto" w:sz="4" w:space="0"/>
                  </w:tcBorders>
                  <w:vAlign w:val="center"/>
                </w:tcPr>
                <w:p>
                  <w:pPr>
                    <w:keepNext w:val="0"/>
                    <w:keepLines w:val="0"/>
                    <w:widowControl/>
                    <w:suppressLineNumbers w:val="0"/>
                    <w:jc w:val="left"/>
                    <w:rPr>
                      <w:rFonts w:hint="default"/>
                      <w:color w:val="auto"/>
                      <w:lang w:val="en-US" w:eastAsia="zh-CN"/>
                    </w:rPr>
                  </w:pPr>
                  <w:r>
                    <w:rPr>
                      <w:rFonts w:hint="eastAsia"/>
                      <w:color w:val="auto"/>
                      <w:lang w:val="en-US" w:eastAsia="zh-CN"/>
                    </w:rPr>
                    <w:t>依托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18" w:type="dxa"/>
                  <w:vAlign w:val="center"/>
                </w:tcPr>
                <w:p>
                  <w:pPr>
                    <w:adjustRightInd w:val="0"/>
                    <w:snapToGrid w:val="0"/>
                    <w:jc w:val="center"/>
                    <w:rPr>
                      <w:rFonts w:hint="eastAsia"/>
                      <w:color w:val="auto"/>
                      <w:lang w:eastAsia="zh-CN"/>
                    </w:rPr>
                  </w:pPr>
                  <w:r>
                    <w:rPr>
                      <w:rFonts w:hint="eastAsia"/>
                      <w:color w:val="auto"/>
                      <w:lang w:val="en-US" w:eastAsia="zh-CN"/>
                    </w:rPr>
                    <w:t>五</w:t>
                  </w:r>
                </w:p>
              </w:tc>
              <w:tc>
                <w:tcPr>
                  <w:tcW w:w="7440" w:type="dxa"/>
                  <w:gridSpan w:val="3"/>
                  <w:vAlign w:val="center"/>
                </w:tcPr>
                <w:p>
                  <w:pPr>
                    <w:adjustRightInd w:val="0"/>
                    <w:snapToGrid w:val="0"/>
                    <w:ind w:firstLine="205" w:firstLineChars="98"/>
                    <w:jc w:val="center"/>
                    <w:rPr>
                      <w:color w:val="auto"/>
                    </w:rPr>
                  </w:pPr>
                  <w:r>
                    <w:rPr>
                      <w:color w:val="auto"/>
                    </w:rPr>
                    <w:t>环保工程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18" w:type="dxa"/>
                  <w:vAlign w:val="center"/>
                </w:tcPr>
                <w:p>
                  <w:pPr>
                    <w:adjustRightInd w:val="0"/>
                    <w:snapToGrid w:val="0"/>
                    <w:jc w:val="center"/>
                    <w:rPr>
                      <w:color w:val="auto"/>
                    </w:rPr>
                  </w:pPr>
                  <w:r>
                    <w:rPr>
                      <w:color w:val="auto"/>
                    </w:rPr>
                    <w:t>1</w:t>
                  </w:r>
                </w:p>
              </w:tc>
              <w:tc>
                <w:tcPr>
                  <w:tcW w:w="1255" w:type="dxa"/>
                  <w:vAlign w:val="center"/>
                </w:tcPr>
                <w:p>
                  <w:pPr>
                    <w:adjustRightInd w:val="0"/>
                    <w:snapToGrid w:val="0"/>
                    <w:jc w:val="center"/>
                    <w:rPr>
                      <w:color w:val="auto"/>
                    </w:rPr>
                  </w:pPr>
                  <w:r>
                    <w:rPr>
                      <w:color w:val="auto"/>
                    </w:rPr>
                    <w:t>废水</w:t>
                  </w:r>
                </w:p>
              </w:tc>
              <w:tc>
                <w:tcPr>
                  <w:tcW w:w="5278" w:type="dxa"/>
                  <w:tcBorders>
                    <w:right w:val="single" w:color="auto" w:sz="4" w:space="0"/>
                  </w:tcBorders>
                  <w:vAlign w:val="center"/>
                </w:tcPr>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生活污水依托附近农户旱厕，定期清掏，用于农肥。</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施工废水沉淀后回用于场地洒水降尘，不外排。</w:t>
                  </w:r>
                </w:p>
              </w:tc>
              <w:tc>
                <w:tcPr>
                  <w:tcW w:w="907" w:type="dxa"/>
                  <w:tcBorders>
                    <w:left w:val="single" w:color="auto" w:sz="4" w:space="0"/>
                  </w:tcBorders>
                  <w:vAlign w:val="center"/>
                </w:tcPr>
                <w:p>
                  <w:pPr>
                    <w:adjustRightInd w:val="0"/>
                    <w:snapToGrid w:val="0"/>
                    <w:rPr>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18" w:type="dxa"/>
                  <w:vAlign w:val="center"/>
                </w:tcPr>
                <w:p>
                  <w:pPr>
                    <w:adjustRightInd w:val="0"/>
                    <w:snapToGrid w:val="0"/>
                    <w:jc w:val="center"/>
                    <w:rPr>
                      <w:rFonts w:hint="eastAsia" w:eastAsia="宋体"/>
                      <w:color w:val="auto"/>
                      <w:lang w:val="en-US" w:eastAsia="zh-CN"/>
                    </w:rPr>
                  </w:pPr>
                  <w:r>
                    <w:rPr>
                      <w:rFonts w:hint="eastAsia"/>
                      <w:color w:val="auto"/>
                      <w:lang w:val="en-US" w:eastAsia="zh-CN"/>
                    </w:rPr>
                    <w:t>2</w:t>
                  </w:r>
                </w:p>
              </w:tc>
              <w:tc>
                <w:tcPr>
                  <w:tcW w:w="1255" w:type="dxa"/>
                  <w:vAlign w:val="center"/>
                </w:tcPr>
                <w:p>
                  <w:pPr>
                    <w:adjustRightInd w:val="0"/>
                    <w:snapToGrid w:val="0"/>
                    <w:jc w:val="center"/>
                    <w:rPr>
                      <w:color w:val="auto"/>
                    </w:rPr>
                  </w:pPr>
                  <w:r>
                    <w:rPr>
                      <w:rFonts w:hint="eastAsia"/>
                      <w:color w:val="auto"/>
                      <w:lang w:val="en-US" w:eastAsia="zh-CN"/>
                    </w:rPr>
                    <w:t>废气</w:t>
                  </w:r>
                </w:p>
              </w:tc>
              <w:tc>
                <w:tcPr>
                  <w:tcW w:w="5278" w:type="dxa"/>
                  <w:tcBorders>
                    <w:right w:val="single" w:color="auto" w:sz="4" w:space="0"/>
                  </w:tcBorders>
                  <w:vAlign w:val="center"/>
                </w:tcPr>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建筑材料堆料场全部覆盖防尘网，施工场地和施工道路洒水抑尘。</w:t>
                  </w:r>
                </w:p>
              </w:tc>
              <w:tc>
                <w:tcPr>
                  <w:tcW w:w="907" w:type="dxa"/>
                  <w:tcBorders>
                    <w:left w:val="single" w:color="auto" w:sz="4" w:space="0"/>
                  </w:tcBorders>
                  <w:vAlign w:val="center"/>
                </w:tcPr>
                <w:p>
                  <w:pPr>
                    <w:adjustRightInd w:val="0"/>
                    <w:snapToGrid w:val="0"/>
                    <w:rPr>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18" w:type="dxa"/>
                  <w:vAlign w:val="center"/>
                </w:tcPr>
                <w:p>
                  <w:pPr>
                    <w:adjustRightInd w:val="0"/>
                    <w:snapToGrid w:val="0"/>
                    <w:jc w:val="center"/>
                    <w:rPr>
                      <w:rFonts w:hint="eastAsia" w:eastAsia="宋体"/>
                      <w:color w:val="auto"/>
                      <w:lang w:val="en-US" w:eastAsia="zh-CN"/>
                    </w:rPr>
                  </w:pPr>
                  <w:r>
                    <w:rPr>
                      <w:rFonts w:hint="eastAsia"/>
                      <w:color w:val="auto"/>
                      <w:lang w:val="en-US" w:eastAsia="zh-CN"/>
                    </w:rPr>
                    <w:t>3</w:t>
                  </w:r>
                </w:p>
              </w:tc>
              <w:tc>
                <w:tcPr>
                  <w:tcW w:w="1255" w:type="dxa"/>
                  <w:vAlign w:val="center"/>
                </w:tcPr>
                <w:p>
                  <w:pPr>
                    <w:adjustRightInd w:val="0"/>
                    <w:snapToGrid w:val="0"/>
                    <w:jc w:val="center"/>
                    <w:rPr>
                      <w:color w:val="auto"/>
                    </w:rPr>
                  </w:pPr>
                  <w:r>
                    <w:rPr>
                      <w:rFonts w:hint="eastAsia"/>
                      <w:color w:val="auto"/>
                      <w:lang w:val="en-US" w:eastAsia="zh-CN"/>
                    </w:rPr>
                    <w:t>噪声</w:t>
                  </w:r>
                </w:p>
              </w:tc>
              <w:tc>
                <w:tcPr>
                  <w:tcW w:w="5278" w:type="dxa"/>
                  <w:tcBorders>
                    <w:right w:val="single" w:color="auto" w:sz="4" w:space="0"/>
                  </w:tcBorders>
                  <w:vAlign w:val="center"/>
                </w:tcPr>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施工设备定期检修，维护；选用低噪声设备。</w:t>
                  </w:r>
                </w:p>
              </w:tc>
              <w:tc>
                <w:tcPr>
                  <w:tcW w:w="907" w:type="dxa"/>
                  <w:tcBorders>
                    <w:left w:val="single" w:color="auto" w:sz="4" w:space="0"/>
                  </w:tcBorders>
                  <w:vAlign w:val="center"/>
                </w:tcPr>
                <w:p>
                  <w:pPr>
                    <w:adjustRightInd w:val="0"/>
                    <w:snapToGrid w:val="0"/>
                    <w:rPr>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18" w:type="dxa"/>
                  <w:vAlign w:val="center"/>
                </w:tcPr>
                <w:p>
                  <w:pPr>
                    <w:adjustRightInd w:val="0"/>
                    <w:snapToGrid w:val="0"/>
                    <w:jc w:val="center"/>
                    <w:rPr>
                      <w:rFonts w:hint="eastAsia" w:eastAsia="宋体"/>
                      <w:color w:val="auto"/>
                      <w:lang w:val="en-US" w:eastAsia="zh-CN"/>
                    </w:rPr>
                  </w:pPr>
                  <w:r>
                    <w:rPr>
                      <w:rFonts w:hint="eastAsia"/>
                      <w:color w:val="auto"/>
                      <w:lang w:val="en-US" w:eastAsia="zh-CN"/>
                    </w:rPr>
                    <w:t>4</w:t>
                  </w:r>
                </w:p>
              </w:tc>
              <w:tc>
                <w:tcPr>
                  <w:tcW w:w="1255" w:type="dxa"/>
                  <w:vAlign w:val="center"/>
                </w:tcPr>
                <w:p>
                  <w:pPr>
                    <w:adjustRightInd w:val="0"/>
                    <w:snapToGrid w:val="0"/>
                    <w:jc w:val="center"/>
                    <w:rPr>
                      <w:rFonts w:hint="eastAsia" w:eastAsia="宋体"/>
                      <w:color w:val="auto"/>
                      <w:lang w:eastAsia="zh-CN"/>
                    </w:rPr>
                  </w:pPr>
                  <w:r>
                    <w:rPr>
                      <w:rFonts w:hint="eastAsia"/>
                      <w:color w:val="auto"/>
                      <w:lang w:eastAsia="zh-CN"/>
                    </w:rPr>
                    <w:t>固废</w:t>
                  </w:r>
                </w:p>
              </w:tc>
              <w:tc>
                <w:tcPr>
                  <w:tcW w:w="5278" w:type="dxa"/>
                  <w:tcBorders>
                    <w:right w:val="single" w:color="auto" w:sz="4" w:space="0"/>
                  </w:tcBorders>
                  <w:vAlign w:val="center"/>
                </w:tcPr>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生活垃圾分类收集后，运往附近环卫收集点，交环卫部门统一清运；</w:t>
                  </w:r>
                </w:p>
                <w:p>
                  <w:pPr>
                    <w:keepNext w:val="0"/>
                    <w:keepLines w:val="0"/>
                    <w:widowControl/>
                    <w:suppressLineNumbers w:val="0"/>
                    <w:jc w:val="left"/>
                    <w:rPr>
                      <w:color w:val="auto"/>
                    </w:rPr>
                  </w:pPr>
                  <w:r>
                    <w:rPr>
                      <w:rFonts w:hint="eastAsia"/>
                      <w:color w:val="auto"/>
                      <w:lang w:eastAsia="zh-CN"/>
                    </w:rPr>
                    <w:t>建筑垃圾</w:t>
                  </w:r>
                  <w:r>
                    <w:rPr>
                      <w:rFonts w:hint="eastAsia" w:ascii="宋体" w:hAnsi="宋体" w:eastAsia="宋体" w:cs="宋体"/>
                      <w:color w:val="auto"/>
                      <w:kern w:val="0"/>
                      <w:sz w:val="21"/>
                      <w:szCs w:val="21"/>
                      <w:lang w:val="en-US" w:eastAsia="zh-CN" w:bidi="ar"/>
                    </w:rPr>
                    <w:t>能够回收利用的外售物资公司回收利用，不可</w:t>
                  </w:r>
                </w:p>
                <w:p>
                  <w:pPr>
                    <w:keepNext w:val="0"/>
                    <w:keepLines w:val="0"/>
                    <w:widowControl/>
                    <w:suppressLineNumbers w:val="0"/>
                    <w:jc w:val="left"/>
                    <w:rPr>
                      <w:rFonts w:hint="eastAsia" w:eastAsia="宋体"/>
                      <w:color w:val="auto"/>
                      <w:lang w:eastAsia="zh-CN"/>
                    </w:rPr>
                  </w:pPr>
                  <w:r>
                    <w:rPr>
                      <w:rFonts w:hint="eastAsia" w:ascii="宋体" w:hAnsi="宋体" w:eastAsia="宋体" w:cs="宋体"/>
                      <w:color w:val="auto"/>
                      <w:kern w:val="0"/>
                      <w:sz w:val="21"/>
                      <w:szCs w:val="21"/>
                      <w:lang w:val="en-US" w:eastAsia="zh-CN" w:bidi="ar"/>
                    </w:rPr>
                    <w:t>回用部分运往</w:t>
                  </w:r>
                  <w:r>
                    <w:rPr>
                      <w:rFonts w:hint="eastAsia" w:ascii="宋体" w:hAnsi="宋体" w:cs="宋体"/>
                      <w:color w:val="auto"/>
                      <w:kern w:val="0"/>
                      <w:sz w:val="21"/>
                      <w:szCs w:val="21"/>
                      <w:lang w:val="en-US" w:eastAsia="zh-CN" w:bidi="ar"/>
                    </w:rPr>
                    <w:t>岚皋</w:t>
                  </w:r>
                  <w:r>
                    <w:rPr>
                      <w:rFonts w:hint="eastAsia" w:ascii="宋体" w:hAnsi="宋体" w:eastAsia="宋体" w:cs="宋体"/>
                      <w:color w:val="auto"/>
                      <w:kern w:val="0"/>
                      <w:sz w:val="21"/>
                      <w:szCs w:val="21"/>
                      <w:lang w:val="en-US" w:eastAsia="zh-CN" w:bidi="ar"/>
                    </w:rPr>
                    <w:t>县环卫部门指定的填埋场</w:t>
                  </w:r>
                </w:p>
              </w:tc>
              <w:tc>
                <w:tcPr>
                  <w:tcW w:w="907" w:type="dxa"/>
                  <w:tcBorders>
                    <w:left w:val="single" w:color="auto" w:sz="4" w:space="0"/>
                  </w:tcBorders>
                  <w:vAlign w:val="center"/>
                </w:tcPr>
                <w:p>
                  <w:pPr>
                    <w:adjustRightInd w:val="0"/>
                    <w:snapToGrid w:val="0"/>
                    <w:rPr>
                      <w:color w:val="auto"/>
                    </w:rPr>
                  </w:pPr>
                </w:p>
              </w:tc>
            </w:tr>
          </w:tbl>
          <w:p>
            <w:pPr>
              <w:spacing w:line="360" w:lineRule="auto"/>
              <w:jc w:val="left"/>
              <w:rPr>
                <w:rFonts w:hint="default"/>
                <w:b/>
                <w:bCs/>
                <w:color w:val="auto"/>
                <w:lang w:val="en-US" w:eastAsia="zh-CN"/>
              </w:rPr>
            </w:pPr>
            <w:r>
              <w:rPr>
                <w:b/>
                <w:bCs/>
                <w:color w:val="auto"/>
              </w:rPr>
              <w:t>三、</w:t>
            </w:r>
            <w:r>
              <w:rPr>
                <w:rFonts w:hint="eastAsia"/>
                <w:b/>
                <w:bCs/>
                <w:color w:val="auto"/>
                <w:lang w:val="en-US" w:eastAsia="zh-CN"/>
              </w:rPr>
              <w:t>工程特性表</w:t>
            </w:r>
          </w:p>
          <w:p>
            <w:pPr>
              <w:spacing w:line="360" w:lineRule="auto"/>
              <w:ind w:firstLine="420" w:firstLineChars="200"/>
              <w:jc w:val="left"/>
              <w:rPr>
                <w:color w:val="auto"/>
              </w:rPr>
            </w:pPr>
            <w:r>
              <w:rPr>
                <w:rFonts w:hint="eastAsia"/>
                <w:color w:val="auto"/>
                <w:lang w:val="en-US" w:eastAsia="zh-CN"/>
              </w:rPr>
              <w:t>工程特性信息</w:t>
            </w:r>
            <w:r>
              <w:rPr>
                <w:color w:val="auto"/>
              </w:rPr>
              <w:t>见表</w:t>
            </w:r>
            <w:r>
              <w:rPr>
                <w:rFonts w:hint="eastAsia"/>
                <w:color w:val="auto"/>
                <w:lang w:val="en-US" w:eastAsia="zh-CN"/>
              </w:rPr>
              <w:t>2-2</w:t>
            </w:r>
            <w:r>
              <w:rPr>
                <w:color w:val="auto"/>
              </w:rPr>
              <w:t>。</w:t>
            </w:r>
          </w:p>
          <w:p>
            <w:pPr>
              <w:pStyle w:val="57"/>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 xml:space="preserve">2  </w:t>
            </w:r>
            <w:r>
              <w:rPr>
                <w:rFonts w:hint="default" w:ascii="Times New Roman" w:hAnsi="Times New Roman" w:cs="Times New Roman"/>
                <w:color w:val="auto"/>
                <w:sz w:val="21"/>
                <w:szCs w:val="21"/>
                <w:lang w:val="en-US" w:eastAsia="zh-CN"/>
              </w:rPr>
              <w:t>工程特性信息表</w:t>
            </w:r>
          </w:p>
          <w:tbl>
            <w:tblPr>
              <w:tblStyle w:val="18"/>
              <w:tblW w:w="81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1"/>
              <w:gridCol w:w="3020"/>
              <w:gridCol w:w="742"/>
              <w:gridCol w:w="1542"/>
              <w:gridCol w:w="2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序号</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名称</w:t>
                  </w:r>
                </w:p>
              </w:tc>
              <w:tc>
                <w:tcPr>
                  <w:tcW w:w="742" w:type="dxa"/>
                  <w:tcBorders>
                    <w:tl2br w:val="nil"/>
                    <w:tr2bl w:val="nil"/>
                  </w:tcBorders>
                  <w:shd w:val="clear" w:color="auto" w:fill="auto"/>
                  <w:vAlign w:val="center"/>
                </w:tcPr>
                <w:p>
                  <w:pPr>
                    <w:pStyle w:val="67"/>
                    <w:rPr>
                      <w:color w:val="auto"/>
                      <w:highlight w:val="none"/>
                    </w:rPr>
                  </w:pPr>
                  <w:r>
                    <w:rPr>
                      <w:rFonts w:hint="eastAsia"/>
                      <w:color w:val="auto"/>
                      <w:highlight w:val="none"/>
                    </w:rPr>
                    <w:t>单位</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数量</w:t>
                  </w:r>
                </w:p>
              </w:tc>
              <w:tc>
                <w:tcPr>
                  <w:tcW w:w="2072" w:type="dxa"/>
                  <w:tcBorders>
                    <w:tl2br w:val="nil"/>
                    <w:tr2bl w:val="nil"/>
                  </w:tcBorders>
                  <w:shd w:val="clear" w:color="auto" w:fill="auto"/>
                  <w:vAlign w:val="center"/>
                </w:tcPr>
                <w:p>
                  <w:pPr>
                    <w:pStyle w:val="67"/>
                    <w:rPr>
                      <w:color w:val="auto"/>
                      <w:highlight w:val="none"/>
                    </w:rPr>
                  </w:pPr>
                  <w:r>
                    <w:rPr>
                      <w:rFonts w:hint="eastAsia"/>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一</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河流特性</w:t>
                  </w:r>
                </w:p>
              </w:tc>
              <w:tc>
                <w:tcPr>
                  <w:tcW w:w="742" w:type="dxa"/>
                  <w:tcBorders>
                    <w:tl2br w:val="nil"/>
                    <w:tr2bl w:val="nil"/>
                  </w:tcBorders>
                  <w:shd w:val="clear" w:color="auto" w:fill="auto"/>
                  <w:vAlign w:val="center"/>
                </w:tcPr>
                <w:p>
                  <w:pPr>
                    <w:pStyle w:val="67"/>
                    <w:rPr>
                      <w:color w:val="auto"/>
                      <w:highlight w:val="none"/>
                    </w:rPr>
                  </w:pPr>
                </w:p>
              </w:tc>
              <w:tc>
                <w:tcPr>
                  <w:tcW w:w="1542" w:type="dxa"/>
                  <w:tcBorders>
                    <w:tl2br w:val="nil"/>
                    <w:tr2bl w:val="nil"/>
                  </w:tcBorders>
                  <w:shd w:val="clear" w:color="auto" w:fill="auto"/>
                  <w:vAlign w:val="center"/>
                </w:tcPr>
                <w:p>
                  <w:pPr>
                    <w:pStyle w:val="67"/>
                    <w:rPr>
                      <w:color w:val="auto"/>
                      <w:highlight w:val="none"/>
                    </w:rPr>
                  </w:pP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color w:val="auto"/>
                      <w:highlight w:val="none"/>
                    </w:rPr>
                    <w:t>1</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干流长度</w:t>
                  </w:r>
                </w:p>
              </w:tc>
              <w:tc>
                <w:tcPr>
                  <w:tcW w:w="742" w:type="dxa"/>
                  <w:tcBorders>
                    <w:tl2br w:val="nil"/>
                    <w:tr2bl w:val="nil"/>
                  </w:tcBorders>
                  <w:shd w:val="clear" w:color="auto" w:fill="auto"/>
                  <w:vAlign w:val="center"/>
                </w:tcPr>
                <w:p>
                  <w:pPr>
                    <w:pStyle w:val="67"/>
                    <w:rPr>
                      <w:color w:val="auto"/>
                      <w:highlight w:val="none"/>
                    </w:rPr>
                  </w:pPr>
                  <w:r>
                    <w:rPr>
                      <w:color w:val="auto"/>
                      <w:highlight w:val="none"/>
                    </w:rPr>
                    <w:t>km</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156</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color w:val="auto"/>
                      <w:highlight w:val="none"/>
                    </w:rPr>
                    <w:t>2</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流域面积</w:t>
                  </w:r>
                </w:p>
              </w:tc>
              <w:tc>
                <w:tcPr>
                  <w:tcW w:w="742" w:type="dxa"/>
                  <w:tcBorders>
                    <w:tl2br w:val="nil"/>
                    <w:tr2bl w:val="nil"/>
                  </w:tcBorders>
                  <w:shd w:val="clear" w:color="auto" w:fill="auto"/>
                  <w:vAlign w:val="center"/>
                </w:tcPr>
                <w:p>
                  <w:pPr>
                    <w:pStyle w:val="67"/>
                    <w:rPr>
                      <w:color w:val="auto"/>
                      <w:highlight w:val="none"/>
                    </w:rPr>
                  </w:pPr>
                  <w:r>
                    <w:rPr>
                      <w:rFonts w:hint="eastAsia"/>
                      <w:color w:val="auto"/>
                      <w:highlight w:val="none"/>
                    </w:rPr>
                    <w:t>km</w:t>
                  </w:r>
                  <w:r>
                    <w:rPr>
                      <w:rFonts w:hint="eastAsia"/>
                      <w:color w:val="auto"/>
                      <w:highlight w:val="none"/>
                      <w:vertAlign w:val="superscript"/>
                    </w:rPr>
                    <w:t>2</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2130</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741" w:type="dxa"/>
                  <w:tcBorders>
                    <w:tl2br w:val="nil"/>
                    <w:tr2bl w:val="nil"/>
                  </w:tcBorders>
                  <w:shd w:val="clear" w:color="auto" w:fill="auto"/>
                  <w:vAlign w:val="center"/>
                </w:tcPr>
                <w:p>
                  <w:pPr>
                    <w:pStyle w:val="67"/>
                    <w:rPr>
                      <w:color w:val="auto"/>
                      <w:highlight w:val="none"/>
                    </w:rPr>
                  </w:pPr>
                  <w:r>
                    <w:rPr>
                      <w:color w:val="auto"/>
                      <w:highlight w:val="none"/>
                    </w:rPr>
                    <w:t>3</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河道平均比降</w:t>
                  </w:r>
                </w:p>
              </w:tc>
              <w:tc>
                <w:tcPr>
                  <w:tcW w:w="742" w:type="dxa"/>
                  <w:tcBorders>
                    <w:tl2br w:val="nil"/>
                    <w:tr2bl w:val="nil"/>
                  </w:tcBorders>
                  <w:shd w:val="clear" w:color="auto" w:fill="auto"/>
                  <w:vAlign w:val="center"/>
                </w:tcPr>
                <w:p>
                  <w:pPr>
                    <w:pStyle w:val="67"/>
                    <w:rPr>
                      <w:color w:val="auto"/>
                      <w:highlight w:val="none"/>
                    </w:rPr>
                  </w:pPr>
                  <w:r>
                    <w:rPr>
                      <w:color w:val="auto"/>
                      <w:highlight w:val="none"/>
                    </w:rPr>
                    <w:t>‰</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6.0</w:t>
                  </w:r>
                  <w:r>
                    <w:rPr>
                      <w:color w:val="auto"/>
                      <w:highlight w:val="none"/>
                    </w:rPr>
                    <w:t>3</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color w:val="auto"/>
                      <w:highlight w:val="none"/>
                    </w:rPr>
                    <w:t>4</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多年平均径流量</w:t>
                  </w:r>
                </w:p>
              </w:tc>
              <w:tc>
                <w:tcPr>
                  <w:tcW w:w="742" w:type="dxa"/>
                  <w:tcBorders>
                    <w:tl2br w:val="nil"/>
                    <w:tr2bl w:val="nil"/>
                  </w:tcBorders>
                  <w:shd w:val="clear" w:color="auto" w:fill="auto"/>
                  <w:vAlign w:val="center"/>
                </w:tcPr>
                <w:p>
                  <w:pPr>
                    <w:pStyle w:val="67"/>
                    <w:rPr>
                      <w:color w:val="auto"/>
                      <w:highlight w:val="none"/>
                    </w:rPr>
                  </w:pPr>
                  <w:r>
                    <w:rPr>
                      <w:rFonts w:hint="eastAsia"/>
                      <w:color w:val="auto"/>
                      <w:highlight w:val="none"/>
                    </w:rPr>
                    <w:t>亿</w:t>
                  </w:r>
                  <w:r>
                    <w:rPr>
                      <w:color w:val="auto"/>
                      <w:highlight w:val="none"/>
                    </w:rPr>
                    <w:t>m³</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12.3</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color w:val="auto"/>
                      <w:highlight w:val="none"/>
                    </w:rPr>
                    <w:t>5</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工程处流域面积</w:t>
                  </w:r>
                </w:p>
              </w:tc>
              <w:tc>
                <w:tcPr>
                  <w:tcW w:w="742" w:type="dxa"/>
                  <w:tcBorders>
                    <w:tl2br w:val="nil"/>
                    <w:tr2bl w:val="nil"/>
                  </w:tcBorders>
                  <w:shd w:val="clear" w:color="auto" w:fill="auto"/>
                  <w:vAlign w:val="center"/>
                </w:tcPr>
                <w:p>
                  <w:pPr>
                    <w:pStyle w:val="67"/>
                    <w:rPr>
                      <w:color w:val="auto"/>
                      <w:highlight w:val="none"/>
                    </w:rPr>
                  </w:pPr>
                </w:p>
              </w:tc>
              <w:tc>
                <w:tcPr>
                  <w:tcW w:w="1542" w:type="dxa"/>
                  <w:tcBorders>
                    <w:tl2br w:val="nil"/>
                    <w:tr2bl w:val="nil"/>
                  </w:tcBorders>
                  <w:shd w:val="clear" w:color="auto" w:fill="auto"/>
                  <w:vAlign w:val="center"/>
                </w:tcPr>
                <w:p>
                  <w:pPr>
                    <w:pStyle w:val="67"/>
                    <w:rPr>
                      <w:color w:val="auto"/>
                      <w:highlight w:val="none"/>
                    </w:rPr>
                  </w:pP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（1）</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岚河九台村段</w:t>
                  </w:r>
                </w:p>
              </w:tc>
              <w:tc>
                <w:tcPr>
                  <w:tcW w:w="742" w:type="dxa"/>
                  <w:tcBorders>
                    <w:tl2br w:val="nil"/>
                    <w:tr2bl w:val="nil"/>
                  </w:tcBorders>
                  <w:shd w:val="clear" w:color="auto" w:fill="auto"/>
                  <w:vAlign w:val="center"/>
                </w:tcPr>
                <w:p>
                  <w:pPr>
                    <w:pStyle w:val="67"/>
                    <w:rPr>
                      <w:color w:val="auto"/>
                      <w:highlight w:val="none"/>
                    </w:rPr>
                  </w:pPr>
                  <w:r>
                    <w:rPr>
                      <w:rFonts w:hint="eastAsia"/>
                      <w:color w:val="auto"/>
                      <w:highlight w:val="none"/>
                    </w:rPr>
                    <w:t>km</w:t>
                  </w:r>
                  <w:r>
                    <w:rPr>
                      <w:rFonts w:hint="eastAsia"/>
                      <w:color w:val="auto"/>
                      <w:highlight w:val="none"/>
                      <w:vertAlign w:val="superscript"/>
                    </w:rPr>
                    <w:t>2</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735.61</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（2）</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武学村二组瓦西沟口下段岚河边水毁段、</w:t>
                  </w:r>
                </w:p>
                <w:p>
                  <w:pPr>
                    <w:pStyle w:val="67"/>
                    <w:rPr>
                      <w:color w:val="auto"/>
                      <w:highlight w:val="none"/>
                    </w:rPr>
                  </w:pPr>
                  <w:r>
                    <w:rPr>
                      <w:rFonts w:hint="eastAsia"/>
                      <w:color w:val="auto"/>
                      <w:highlight w:val="none"/>
                    </w:rPr>
                    <w:t>柏杨林村三组石滚坝、</w:t>
                  </w:r>
                </w:p>
                <w:p>
                  <w:pPr>
                    <w:pStyle w:val="67"/>
                    <w:rPr>
                      <w:color w:val="auto"/>
                      <w:highlight w:val="none"/>
                    </w:rPr>
                  </w:pPr>
                  <w:r>
                    <w:rPr>
                      <w:rFonts w:hint="eastAsia"/>
                      <w:color w:val="auto"/>
                      <w:highlight w:val="none"/>
                    </w:rPr>
                    <w:t>桃园村二组四方地河坝段</w:t>
                  </w:r>
                </w:p>
              </w:tc>
              <w:tc>
                <w:tcPr>
                  <w:tcW w:w="742" w:type="dxa"/>
                  <w:tcBorders>
                    <w:tl2br w:val="nil"/>
                    <w:tr2bl w:val="nil"/>
                  </w:tcBorders>
                  <w:shd w:val="clear" w:color="auto" w:fill="auto"/>
                  <w:vAlign w:val="center"/>
                </w:tcPr>
                <w:p>
                  <w:pPr>
                    <w:pStyle w:val="67"/>
                    <w:rPr>
                      <w:color w:val="auto"/>
                      <w:highlight w:val="none"/>
                    </w:rPr>
                  </w:pPr>
                  <w:r>
                    <w:rPr>
                      <w:rFonts w:hint="eastAsia"/>
                      <w:color w:val="auto"/>
                      <w:highlight w:val="none"/>
                    </w:rPr>
                    <w:t>km</w:t>
                  </w:r>
                  <w:r>
                    <w:rPr>
                      <w:rFonts w:hint="eastAsia"/>
                      <w:color w:val="auto"/>
                      <w:highlight w:val="none"/>
                      <w:vertAlign w:val="superscript"/>
                    </w:rPr>
                    <w:t>2</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847.32</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（3）</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西河村一组猕猴桃园区段</w:t>
                  </w:r>
                </w:p>
              </w:tc>
              <w:tc>
                <w:tcPr>
                  <w:tcW w:w="742" w:type="dxa"/>
                  <w:tcBorders>
                    <w:tl2br w:val="nil"/>
                    <w:tr2bl w:val="nil"/>
                  </w:tcBorders>
                  <w:shd w:val="clear" w:color="auto" w:fill="auto"/>
                  <w:vAlign w:val="center"/>
                </w:tcPr>
                <w:p>
                  <w:pPr>
                    <w:pStyle w:val="67"/>
                    <w:rPr>
                      <w:color w:val="auto"/>
                      <w:highlight w:val="none"/>
                    </w:rPr>
                  </w:pPr>
                  <w:r>
                    <w:rPr>
                      <w:rFonts w:hint="eastAsia"/>
                      <w:color w:val="auto"/>
                      <w:highlight w:val="none"/>
                    </w:rPr>
                    <w:t>km</w:t>
                  </w:r>
                  <w:r>
                    <w:rPr>
                      <w:rFonts w:hint="eastAsia"/>
                      <w:color w:val="auto"/>
                      <w:highlight w:val="none"/>
                      <w:vertAlign w:val="superscript"/>
                    </w:rPr>
                    <w:t>2</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902.07</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（4）</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西河村二组右岸段</w:t>
                  </w:r>
                </w:p>
              </w:tc>
              <w:tc>
                <w:tcPr>
                  <w:tcW w:w="742" w:type="dxa"/>
                  <w:tcBorders>
                    <w:tl2br w:val="nil"/>
                    <w:tr2bl w:val="nil"/>
                  </w:tcBorders>
                  <w:shd w:val="clear" w:color="auto" w:fill="auto"/>
                  <w:vAlign w:val="center"/>
                </w:tcPr>
                <w:p>
                  <w:pPr>
                    <w:pStyle w:val="67"/>
                    <w:rPr>
                      <w:color w:val="auto"/>
                      <w:highlight w:val="none"/>
                    </w:rPr>
                  </w:pPr>
                  <w:r>
                    <w:rPr>
                      <w:rFonts w:hint="eastAsia"/>
                      <w:color w:val="auto"/>
                      <w:highlight w:val="none"/>
                    </w:rPr>
                    <w:t>km</w:t>
                  </w:r>
                  <w:r>
                    <w:rPr>
                      <w:rFonts w:hint="eastAsia"/>
                      <w:color w:val="auto"/>
                      <w:highlight w:val="none"/>
                      <w:vertAlign w:val="superscript"/>
                    </w:rPr>
                    <w:t>2</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43.20</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（5）</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龙安村龙安电站段左岸段</w:t>
                  </w:r>
                </w:p>
              </w:tc>
              <w:tc>
                <w:tcPr>
                  <w:tcW w:w="742" w:type="dxa"/>
                  <w:tcBorders>
                    <w:tl2br w:val="nil"/>
                    <w:tr2bl w:val="nil"/>
                  </w:tcBorders>
                  <w:shd w:val="clear" w:color="auto" w:fill="auto"/>
                  <w:vAlign w:val="center"/>
                </w:tcPr>
                <w:p>
                  <w:pPr>
                    <w:pStyle w:val="67"/>
                    <w:rPr>
                      <w:color w:val="auto"/>
                      <w:highlight w:val="none"/>
                    </w:rPr>
                  </w:pPr>
                  <w:r>
                    <w:rPr>
                      <w:rFonts w:hint="eastAsia"/>
                      <w:color w:val="auto"/>
                      <w:highlight w:val="none"/>
                    </w:rPr>
                    <w:t>km</w:t>
                  </w:r>
                  <w:r>
                    <w:rPr>
                      <w:rFonts w:hint="eastAsia"/>
                      <w:color w:val="auto"/>
                      <w:highlight w:val="none"/>
                      <w:vertAlign w:val="superscript"/>
                    </w:rPr>
                    <w:t>2</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923.99</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（6）</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大盘河新生村左岸段</w:t>
                  </w:r>
                </w:p>
              </w:tc>
              <w:tc>
                <w:tcPr>
                  <w:tcW w:w="742" w:type="dxa"/>
                  <w:tcBorders>
                    <w:tl2br w:val="nil"/>
                    <w:tr2bl w:val="nil"/>
                  </w:tcBorders>
                  <w:shd w:val="clear" w:color="auto" w:fill="auto"/>
                  <w:vAlign w:val="center"/>
                </w:tcPr>
                <w:p>
                  <w:pPr>
                    <w:pStyle w:val="67"/>
                    <w:rPr>
                      <w:color w:val="auto"/>
                      <w:highlight w:val="none"/>
                    </w:rPr>
                  </w:pPr>
                  <w:r>
                    <w:rPr>
                      <w:rFonts w:hint="eastAsia"/>
                      <w:color w:val="auto"/>
                      <w:highlight w:val="none"/>
                    </w:rPr>
                    <w:t>km</w:t>
                  </w:r>
                  <w:r>
                    <w:rPr>
                      <w:rFonts w:hint="eastAsia"/>
                      <w:color w:val="auto"/>
                      <w:highlight w:val="none"/>
                      <w:vertAlign w:val="superscript"/>
                    </w:rPr>
                    <w:t>2</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58.90</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6</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设计洪水</w:t>
                  </w:r>
                </w:p>
              </w:tc>
              <w:tc>
                <w:tcPr>
                  <w:tcW w:w="742" w:type="dxa"/>
                  <w:tcBorders>
                    <w:tl2br w:val="nil"/>
                    <w:tr2bl w:val="nil"/>
                  </w:tcBorders>
                  <w:shd w:val="clear" w:color="auto" w:fill="auto"/>
                  <w:vAlign w:val="center"/>
                </w:tcPr>
                <w:p>
                  <w:pPr>
                    <w:pStyle w:val="67"/>
                    <w:rPr>
                      <w:color w:val="auto"/>
                      <w:highlight w:val="none"/>
                    </w:rPr>
                  </w:pPr>
                </w:p>
              </w:tc>
              <w:tc>
                <w:tcPr>
                  <w:tcW w:w="1542" w:type="dxa"/>
                  <w:tcBorders>
                    <w:tl2br w:val="nil"/>
                    <w:tr2bl w:val="nil"/>
                  </w:tcBorders>
                  <w:shd w:val="clear" w:color="auto" w:fill="auto"/>
                  <w:vAlign w:val="center"/>
                </w:tcPr>
                <w:p>
                  <w:pPr>
                    <w:pStyle w:val="67"/>
                    <w:rPr>
                      <w:color w:val="auto"/>
                      <w:highlight w:val="none"/>
                    </w:rPr>
                  </w:pP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（1）</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岚河九台村段</w:t>
                  </w:r>
                </w:p>
              </w:tc>
              <w:tc>
                <w:tcPr>
                  <w:tcW w:w="742" w:type="dxa"/>
                  <w:tcBorders>
                    <w:tl2br w:val="nil"/>
                    <w:tr2bl w:val="nil"/>
                  </w:tcBorders>
                  <w:shd w:val="clear" w:color="auto" w:fill="auto"/>
                  <w:vAlign w:val="center"/>
                </w:tcPr>
                <w:p>
                  <w:pPr>
                    <w:pStyle w:val="67"/>
                    <w:rPr>
                      <w:color w:val="auto"/>
                      <w:highlight w:val="none"/>
                    </w:rPr>
                  </w:pPr>
                  <w:r>
                    <w:rPr>
                      <w:color w:val="auto"/>
                      <w:highlight w:val="none"/>
                    </w:rPr>
                    <w:t>m³/s</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1380</w:t>
                  </w:r>
                </w:p>
              </w:tc>
              <w:tc>
                <w:tcPr>
                  <w:tcW w:w="2072" w:type="dxa"/>
                  <w:vMerge w:val="restart"/>
                  <w:tcBorders>
                    <w:tl2br w:val="nil"/>
                    <w:tr2bl w:val="nil"/>
                  </w:tcBorders>
                  <w:shd w:val="clear" w:color="auto" w:fill="auto"/>
                  <w:vAlign w:val="center"/>
                </w:tcPr>
                <w:p>
                  <w:pPr>
                    <w:pStyle w:val="67"/>
                    <w:rPr>
                      <w:color w:val="auto"/>
                      <w:highlight w:val="none"/>
                    </w:rPr>
                  </w:pPr>
                  <w:r>
                    <w:rPr>
                      <w:rFonts w:hint="eastAsia"/>
                      <w:color w:val="auto"/>
                      <w:highlight w:val="none"/>
                    </w:rPr>
                    <w:t>P=5%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（2）</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武学村二组瓦西沟口下段岚河边水毁段、柏杨林村三组石滚坝、桃园村二组四方地河坝段</w:t>
                  </w:r>
                </w:p>
              </w:tc>
              <w:tc>
                <w:tcPr>
                  <w:tcW w:w="742" w:type="dxa"/>
                  <w:tcBorders>
                    <w:tl2br w:val="nil"/>
                    <w:tr2bl w:val="nil"/>
                  </w:tcBorders>
                  <w:shd w:val="clear" w:color="auto" w:fill="auto"/>
                  <w:vAlign w:val="center"/>
                </w:tcPr>
                <w:p>
                  <w:pPr>
                    <w:pStyle w:val="67"/>
                    <w:rPr>
                      <w:color w:val="auto"/>
                      <w:highlight w:val="none"/>
                    </w:rPr>
                  </w:pPr>
                  <w:r>
                    <w:rPr>
                      <w:color w:val="auto"/>
                      <w:highlight w:val="none"/>
                    </w:rPr>
                    <w:t>m³/s</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1515</w:t>
                  </w:r>
                </w:p>
              </w:tc>
              <w:tc>
                <w:tcPr>
                  <w:tcW w:w="2072" w:type="dxa"/>
                  <w:vMerge w:val="continue"/>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（3）</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西河村一组猕猴桃园区段</w:t>
                  </w:r>
                </w:p>
              </w:tc>
              <w:tc>
                <w:tcPr>
                  <w:tcW w:w="742" w:type="dxa"/>
                  <w:tcBorders>
                    <w:tl2br w:val="nil"/>
                    <w:tr2bl w:val="nil"/>
                  </w:tcBorders>
                  <w:shd w:val="clear" w:color="auto" w:fill="auto"/>
                  <w:vAlign w:val="center"/>
                </w:tcPr>
                <w:p>
                  <w:pPr>
                    <w:pStyle w:val="67"/>
                    <w:rPr>
                      <w:color w:val="auto"/>
                      <w:highlight w:val="none"/>
                    </w:rPr>
                  </w:pPr>
                  <w:r>
                    <w:rPr>
                      <w:color w:val="auto"/>
                      <w:highlight w:val="none"/>
                    </w:rPr>
                    <w:t>m³/s</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1345</w:t>
                  </w:r>
                </w:p>
              </w:tc>
              <w:tc>
                <w:tcPr>
                  <w:tcW w:w="2072" w:type="dxa"/>
                  <w:tcBorders>
                    <w:tl2br w:val="nil"/>
                    <w:tr2bl w:val="nil"/>
                  </w:tcBorders>
                  <w:shd w:val="clear" w:color="auto" w:fill="auto"/>
                  <w:vAlign w:val="center"/>
                </w:tcPr>
                <w:p>
                  <w:pPr>
                    <w:pStyle w:val="67"/>
                    <w:rPr>
                      <w:color w:val="auto"/>
                      <w:highlight w:val="none"/>
                    </w:rPr>
                  </w:pPr>
                  <w:r>
                    <w:rPr>
                      <w:rFonts w:hint="eastAsia"/>
                      <w:color w:val="auto"/>
                      <w:highlight w:val="none"/>
                    </w:rPr>
                    <w:t>P=10%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（4）</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西河村二组右岸段</w:t>
                  </w:r>
                </w:p>
              </w:tc>
              <w:tc>
                <w:tcPr>
                  <w:tcW w:w="742" w:type="dxa"/>
                  <w:tcBorders>
                    <w:tl2br w:val="nil"/>
                    <w:tr2bl w:val="nil"/>
                  </w:tcBorders>
                  <w:shd w:val="clear" w:color="auto" w:fill="auto"/>
                  <w:vAlign w:val="center"/>
                </w:tcPr>
                <w:p>
                  <w:pPr>
                    <w:pStyle w:val="67"/>
                    <w:rPr>
                      <w:color w:val="auto"/>
                      <w:highlight w:val="none"/>
                    </w:rPr>
                  </w:pPr>
                  <w:r>
                    <w:rPr>
                      <w:color w:val="auto"/>
                      <w:highlight w:val="none"/>
                    </w:rPr>
                    <w:t>m³/s</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203</w:t>
                  </w:r>
                </w:p>
              </w:tc>
              <w:tc>
                <w:tcPr>
                  <w:tcW w:w="2072" w:type="dxa"/>
                  <w:tcBorders>
                    <w:tl2br w:val="nil"/>
                    <w:tr2bl w:val="nil"/>
                  </w:tcBorders>
                  <w:shd w:val="clear" w:color="auto" w:fill="auto"/>
                  <w:vAlign w:val="center"/>
                </w:tcPr>
                <w:p>
                  <w:pPr>
                    <w:pStyle w:val="67"/>
                    <w:rPr>
                      <w:color w:val="auto"/>
                      <w:highlight w:val="none"/>
                    </w:rPr>
                  </w:pPr>
                  <w:r>
                    <w:rPr>
                      <w:rFonts w:hint="eastAsia"/>
                      <w:color w:val="auto"/>
                      <w:highlight w:val="none"/>
                    </w:rPr>
                    <w:t>P=10%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（4）</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龙安村龙安电站段左岸段</w:t>
                  </w:r>
                </w:p>
              </w:tc>
              <w:tc>
                <w:tcPr>
                  <w:tcW w:w="742" w:type="dxa"/>
                  <w:tcBorders>
                    <w:tl2br w:val="nil"/>
                    <w:tr2bl w:val="nil"/>
                  </w:tcBorders>
                  <w:shd w:val="clear" w:color="auto" w:fill="auto"/>
                  <w:vAlign w:val="center"/>
                </w:tcPr>
                <w:p>
                  <w:pPr>
                    <w:pStyle w:val="67"/>
                    <w:rPr>
                      <w:color w:val="auto"/>
                      <w:highlight w:val="none"/>
                    </w:rPr>
                  </w:pPr>
                  <w:r>
                    <w:rPr>
                      <w:color w:val="auto"/>
                      <w:highlight w:val="none"/>
                    </w:rPr>
                    <w:t>m³/s</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1610</w:t>
                  </w:r>
                </w:p>
              </w:tc>
              <w:tc>
                <w:tcPr>
                  <w:tcW w:w="2072" w:type="dxa"/>
                  <w:tcBorders>
                    <w:tl2br w:val="nil"/>
                    <w:tr2bl w:val="nil"/>
                  </w:tcBorders>
                  <w:shd w:val="clear" w:color="auto" w:fill="auto"/>
                  <w:vAlign w:val="center"/>
                </w:tcPr>
                <w:p>
                  <w:pPr>
                    <w:pStyle w:val="67"/>
                    <w:rPr>
                      <w:color w:val="auto"/>
                      <w:highlight w:val="none"/>
                    </w:rPr>
                  </w:pPr>
                  <w:r>
                    <w:rPr>
                      <w:rFonts w:hint="eastAsia"/>
                      <w:color w:val="auto"/>
                      <w:highlight w:val="none"/>
                    </w:rPr>
                    <w:t>P=5%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vMerge w:val="restart"/>
                  <w:tcBorders>
                    <w:tl2br w:val="nil"/>
                    <w:tr2bl w:val="nil"/>
                  </w:tcBorders>
                  <w:shd w:val="clear" w:color="auto" w:fill="auto"/>
                  <w:vAlign w:val="center"/>
                </w:tcPr>
                <w:p>
                  <w:pPr>
                    <w:pStyle w:val="67"/>
                    <w:rPr>
                      <w:color w:val="auto"/>
                      <w:highlight w:val="none"/>
                    </w:rPr>
                  </w:pPr>
                  <w:r>
                    <w:rPr>
                      <w:rFonts w:hint="eastAsia"/>
                      <w:color w:val="auto"/>
                      <w:highlight w:val="none"/>
                    </w:rPr>
                    <w:t>（5）</w:t>
                  </w:r>
                </w:p>
              </w:tc>
              <w:tc>
                <w:tcPr>
                  <w:tcW w:w="3020" w:type="dxa"/>
                  <w:vMerge w:val="restart"/>
                  <w:tcBorders>
                    <w:tl2br w:val="nil"/>
                    <w:tr2bl w:val="nil"/>
                  </w:tcBorders>
                  <w:shd w:val="clear" w:color="auto" w:fill="auto"/>
                  <w:vAlign w:val="center"/>
                </w:tcPr>
                <w:p>
                  <w:pPr>
                    <w:pStyle w:val="67"/>
                    <w:rPr>
                      <w:color w:val="auto"/>
                      <w:highlight w:val="none"/>
                    </w:rPr>
                  </w:pPr>
                  <w:r>
                    <w:rPr>
                      <w:rFonts w:hint="eastAsia"/>
                      <w:color w:val="auto"/>
                      <w:highlight w:val="none"/>
                    </w:rPr>
                    <w:t>大盘河新生村左岸段</w:t>
                  </w:r>
                </w:p>
              </w:tc>
              <w:tc>
                <w:tcPr>
                  <w:tcW w:w="742" w:type="dxa"/>
                  <w:vMerge w:val="restart"/>
                  <w:tcBorders>
                    <w:tl2br w:val="nil"/>
                    <w:tr2bl w:val="nil"/>
                  </w:tcBorders>
                  <w:shd w:val="clear" w:color="auto" w:fill="auto"/>
                  <w:vAlign w:val="center"/>
                </w:tcPr>
                <w:p>
                  <w:pPr>
                    <w:pStyle w:val="67"/>
                    <w:rPr>
                      <w:color w:val="auto"/>
                      <w:highlight w:val="none"/>
                    </w:rPr>
                  </w:pPr>
                  <w:r>
                    <w:rPr>
                      <w:color w:val="auto"/>
                      <w:highlight w:val="none"/>
                    </w:rPr>
                    <w:t>m³/s</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360</w:t>
                  </w:r>
                </w:p>
              </w:tc>
              <w:tc>
                <w:tcPr>
                  <w:tcW w:w="2072" w:type="dxa"/>
                  <w:tcBorders>
                    <w:tl2br w:val="nil"/>
                    <w:tr2bl w:val="nil"/>
                  </w:tcBorders>
                  <w:shd w:val="clear" w:color="auto" w:fill="auto"/>
                  <w:vAlign w:val="center"/>
                </w:tcPr>
                <w:p>
                  <w:pPr>
                    <w:pStyle w:val="67"/>
                    <w:rPr>
                      <w:color w:val="auto"/>
                      <w:highlight w:val="none"/>
                    </w:rPr>
                  </w:pPr>
                  <w:r>
                    <w:rPr>
                      <w:rFonts w:hint="eastAsia"/>
                      <w:color w:val="auto"/>
                      <w:highlight w:val="none"/>
                    </w:rPr>
                    <w:t>P=5%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vMerge w:val="continue"/>
                  <w:tcBorders>
                    <w:tl2br w:val="nil"/>
                    <w:tr2bl w:val="nil"/>
                  </w:tcBorders>
                  <w:shd w:val="clear" w:color="auto" w:fill="auto"/>
                  <w:vAlign w:val="center"/>
                </w:tcPr>
                <w:p>
                  <w:pPr>
                    <w:pStyle w:val="67"/>
                    <w:rPr>
                      <w:color w:val="auto"/>
                      <w:highlight w:val="none"/>
                    </w:rPr>
                  </w:pPr>
                </w:p>
              </w:tc>
              <w:tc>
                <w:tcPr>
                  <w:tcW w:w="3020" w:type="dxa"/>
                  <w:vMerge w:val="continue"/>
                  <w:tcBorders>
                    <w:tl2br w:val="nil"/>
                    <w:tr2bl w:val="nil"/>
                  </w:tcBorders>
                  <w:shd w:val="clear" w:color="auto" w:fill="auto"/>
                  <w:vAlign w:val="center"/>
                </w:tcPr>
                <w:p>
                  <w:pPr>
                    <w:pStyle w:val="67"/>
                    <w:rPr>
                      <w:color w:val="auto"/>
                      <w:highlight w:val="none"/>
                    </w:rPr>
                  </w:pPr>
                </w:p>
              </w:tc>
              <w:tc>
                <w:tcPr>
                  <w:tcW w:w="742" w:type="dxa"/>
                  <w:vMerge w:val="continue"/>
                  <w:tcBorders>
                    <w:tl2br w:val="nil"/>
                    <w:tr2bl w:val="nil"/>
                  </w:tcBorders>
                  <w:shd w:val="clear" w:color="auto" w:fill="auto"/>
                  <w:vAlign w:val="center"/>
                </w:tcPr>
                <w:p>
                  <w:pPr>
                    <w:pStyle w:val="67"/>
                    <w:rPr>
                      <w:color w:val="auto"/>
                      <w:highlight w:val="none"/>
                    </w:rPr>
                  </w:pP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285</w:t>
                  </w:r>
                </w:p>
              </w:tc>
              <w:tc>
                <w:tcPr>
                  <w:tcW w:w="2072" w:type="dxa"/>
                  <w:tcBorders>
                    <w:tl2br w:val="nil"/>
                    <w:tr2bl w:val="nil"/>
                  </w:tcBorders>
                  <w:shd w:val="clear" w:color="auto" w:fill="auto"/>
                  <w:vAlign w:val="center"/>
                </w:tcPr>
                <w:p>
                  <w:pPr>
                    <w:pStyle w:val="67"/>
                    <w:rPr>
                      <w:color w:val="auto"/>
                      <w:highlight w:val="none"/>
                    </w:rPr>
                  </w:pPr>
                  <w:r>
                    <w:rPr>
                      <w:rFonts w:hint="eastAsia"/>
                      <w:color w:val="auto"/>
                      <w:highlight w:val="none"/>
                    </w:rPr>
                    <w:t>P=10%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二</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防洪工程级别</w:t>
                  </w:r>
                </w:p>
              </w:tc>
              <w:tc>
                <w:tcPr>
                  <w:tcW w:w="742" w:type="dxa"/>
                  <w:tcBorders>
                    <w:tl2br w:val="nil"/>
                    <w:tr2bl w:val="nil"/>
                  </w:tcBorders>
                  <w:shd w:val="clear" w:color="auto" w:fill="auto"/>
                  <w:vAlign w:val="center"/>
                </w:tcPr>
                <w:p>
                  <w:pPr>
                    <w:pStyle w:val="67"/>
                    <w:rPr>
                      <w:color w:val="auto"/>
                      <w:highlight w:val="none"/>
                    </w:rPr>
                  </w:pPr>
                </w:p>
              </w:tc>
              <w:tc>
                <w:tcPr>
                  <w:tcW w:w="1542" w:type="dxa"/>
                  <w:tcBorders>
                    <w:tl2br w:val="nil"/>
                    <w:tr2bl w:val="nil"/>
                  </w:tcBorders>
                  <w:shd w:val="clear" w:color="auto" w:fill="auto"/>
                  <w:vAlign w:val="center"/>
                </w:tcPr>
                <w:p>
                  <w:pPr>
                    <w:pStyle w:val="67"/>
                    <w:rPr>
                      <w:color w:val="auto"/>
                      <w:highlight w:val="none"/>
                    </w:rPr>
                  </w:pP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1</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岚河九台村段</w:t>
                  </w:r>
                </w:p>
              </w:tc>
              <w:tc>
                <w:tcPr>
                  <w:tcW w:w="742" w:type="dxa"/>
                  <w:tcBorders>
                    <w:tl2br w:val="nil"/>
                    <w:tr2bl w:val="nil"/>
                  </w:tcBorders>
                  <w:shd w:val="clear" w:color="auto" w:fill="auto"/>
                  <w:vAlign w:val="center"/>
                </w:tcPr>
                <w:p>
                  <w:pPr>
                    <w:pStyle w:val="67"/>
                    <w:rPr>
                      <w:color w:val="auto"/>
                      <w:highlight w:val="none"/>
                    </w:rPr>
                  </w:pPr>
                </w:p>
              </w:tc>
              <w:tc>
                <w:tcPr>
                  <w:tcW w:w="1542" w:type="dxa"/>
                  <w:tcBorders>
                    <w:tl2br w:val="nil"/>
                    <w:tr2bl w:val="nil"/>
                  </w:tcBorders>
                  <w:shd w:val="clear" w:color="auto" w:fill="auto"/>
                  <w:vAlign w:val="center"/>
                </w:tcPr>
                <w:p>
                  <w:pPr>
                    <w:pStyle w:val="67"/>
                    <w:rPr>
                      <w:color w:val="auto"/>
                      <w:highlight w:val="none"/>
                    </w:rPr>
                  </w:pPr>
                </w:p>
              </w:tc>
              <w:tc>
                <w:tcPr>
                  <w:tcW w:w="2072" w:type="dxa"/>
                  <w:tcBorders>
                    <w:tl2br w:val="nil"/>
                    <w:tr2bl w:val="nil"/>
                  </w:tcBorders>
                  <w:shd w:val="clear" w:color="auto" w:fill="auto"/>
                  <w:vAlign w:val="center"/>
                </w:tcPr>
                <w:p>
                  <w:pPr>
                    <w:pStyle w:val="67"/>
                    <w:rPr>
                      <w:color w:val="auto"/>
                      <w:highlight w:val="none"/>
                    </w:rPr>
                  </w:pPr>
                  <w:r>
                    <w:rPr>
                      <w:rFonts w:hint="eastAsia"/>
                      <w:color w:val="auto"/>
                      <w:highlight w:val="none"/>
                    </w:rPr>
                    <w:t>主要</w:t>
                  </w:r>
                  <w:r>
                    <w:rPr>
                      <w:color w:val="auto"/>
                      <w:highlight w:val="none"/>
                    </w:rPr>
                    <w:t>建筑物为</w:t>
                  </w:r>
                  <w:r>
                    <w:rPr>
                      <w:rFonts w:hint="eastAsia"/>
                      <w:color w:val="auto"/>
                      <w:highlight w:val="none"/>
                    </w:rPr>
                    <w:t>4级，次要及临时</w:t>
                  </w:r>
                  <w:r>
                    <w:rPr>
                      <w:color w:val="auto"/>
                      <w:highlight w:val="none"/>
                    </w:rPr>
                    <w:t>建筑物</w:t>
                  </w:r>
                  <w:r>
                    <w:rPr>
                      <w:rFonts w:hint="eastAsia"/>
                      <w:color w:val="auto"/>
                      <w:highlight w:val="none"/>
                    </w:rPr>
                    <w:t>级别为5级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2</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武学村二组瓦西沟口右岸段</w:t>
                  </w:r>
                </w:p>
              </w:tc>
              <w:tc>
                <w:tcPr>
                  <w:tcW w:w="742" w:type="dxa"/>
                  <w:tcBorders>
                    <w:tl2br w:val="nil"/>
                    <w:tr2bl w:val="nil"/>
                  </w:tcBorders>
                  <w:shd w:val="clear" w:color="auto" w:fill="auto"/>
                  <w:vAlign w:val="center"/>
                </w:tcPr>
                <w:p>
                  <w:pPr>
                    <w:pStyle w:val="67"/>
                    <w:rPr>
                      <w:color w:val="auto"/>
                      <w:highlight w:val="none"/>
                    </w:rPr>
                  </w:pPr>
                </w:p>
              </w:tc>
              <w:tc>
                <w:tcPr>
                  <w:tcW w:w="1542" w:type="dxa"/>
                  <w:tcBorders>
                    <w:tl2br w:val="nil"/>
                    <w:tr2bl w:val="nil"/>
                  </w:tcBorders>
                  <w:shd w:val="clear" w:color="auto" w:fill="auto"/>
                  <w:vAlign w:val="center"/>
                </w:tcPr>
                <w:p>
                  <w:pPr>
                    <w:pStyle w:val="67"/>
                    <w:rPr>
                      <w:color w:val="auto"/>
                      <w:highlight w:val="none"/>
                    </w:rPr>
                  </w:pPr>
                </w:p>
              </w:tc>
              <w:tc>
                <w:tcPr>
                  <w:tcW w:w="2072" w:type="dxa"/>
                  <w:tcBorders>
                    <w:tl2br w:val="nil"/>
                    <w:tr2bl w:val="nil"/>
                  </w:tcBorders>
                  <w:shd w:val="clear" w:color="auto" w:fill="auto"/>
                  <w:vAlign w:val="center"/>
                </w:tcPr>
                <w:p>
                  <w:pPr>
                    <w:pStyle w:val="67"/>
                    <w:rPr>
                      <w:color w:val="auto"/>
                      <w:highlight w:val="none"/>
                    </w:rPr>
                  </w:pPr>
                  <w:r>
                    <w:rPr>
                      <w:rFonts w:hint="eastAsia"/>
                      <w:color w:val="auto"/>
                      <w:highlight w:val="none"/>
                    </w:rPr>
                    <w:t>主要</w:t>
                  </w:r>
                  <w:r>
                    <w:rPr>
                      <w:color w:val="auto"/>
                      <w:highlight w:val="none"/>
                    </w:rPr>
                    <w:t>建筑物为4</w:t>
                  </w:r>
                  <w:r>
                    <w:rPr>
                      <w:rFonts w:hint="eastAsia"/>
                      <w:color w:val="auto"/>
                      <w:highlight w:val="none"/>
                    </w:rPr>
                    <w:t>级，次要及临时</w:t>
                  </w:r>
                  <w:r>
                    <w:rPr>
                      <w:color w:val="auto"/>
                      <w:highlight w:val="none"/>
                    </w:rPr>
                    <w:t>建筑物</w:t>
                  </w:r>
                  <w:r>
                    <w:rPr>
                      <w:rFonts w:hint="eastAsia"/>
                      <w:color w:val="auto"/>
                      <w:highlight w:val="none"/>
                    </w:rPr>
                    <w:t>级别为5级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3</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柏杨林村三组石滚坝右岸段</w:t>
                  </w:r>
                </w:p>
              </w:tc>
              <w:tc>
                <w:tcPr>
                  <w:tcW w:w="742" w:type="dxa"/>
                  <w:tcBorders>
                    <w:tl2br w:val="nil"/>
                    <w:tr2bl w:val="nil"/>
                  </w:tcBorders>
                  <w:shd w:val="clear" w:color="auto" w:fill="auto"/>
                  <w:vAlign w:val="center"/>
                </w:tcPr>
                <w:p>
                  <w:pPr>
                    <w:pStyle w:val="67"/>
                    <w:rPr>
                      <w:color w:val="auto"/>
                      <w:highlight w:val="none"/>
                    </w:rPr>
                  </w:pPr>
                </w:p>
              </w:tc>
              <w:tc>
                <w:tcPr>
                  <w:tcW w:w="1542" w:type="dxa"/>
                  <w:tcBorders>
                    <w:tl2br w:val="nil"/>
                    <w:tr2bl w:val="nil"/>
                  </w:tcBorders>
                  <w:shd w:val="clear" w:color="auto" w:fill="auto"/>
                  <w:vAlign w:val="center"/>
                </w:tcPr>
                <w:p>
                  <w:pPr>
                    <w:pStyle w:val="67"/>
                    <w:rPr>
                      <w:color w:val="auto"/>
                      <w:highlight w:val="none"/>
                    </w:rPr>
                  </w:pPr>
                </w:p>
              </w:tc>
              <w:tc>
                <w:tcPr>
                  <w:tcW w:w="2072" w:type="dxa"/>
                  <w:tcBorders>
                    <w:tl2br w:val="nil"/>
                    <w:tr2bl w:val="nil"/>
                  </w:tcBorders>
                  <w:shd w:val="clear" w:color="auto" w:fill="auto"/>
                  <w:vAlign w:val="center"/>
                </w:tcPr>
                <w:p>
                  <w:pPr>
                    <w:pStyle w:val="67"/>
                    <w:rPr>
                      <w:color w:val="auto"/>
                      <w:highlight w:val="none"/>
                    </w:rPr>
                  </w:pPr>
                  <w:r>
                    <w:rPr>
                      <w:rFonts w:hint="eastAsia"/>
                      <w:color w:val="auto"/>
                      <w:highlight w:val="none"/>
                    </w:rPr>
                    <w:t>主要</w:t>
                  </w:r>
                  <w:r>
                    <w:rPr>
                      <w:color w:val="auto"/>
                      <w:highlight w:val="none"/>
                    </w:rPr>
                    <w:t>建筑物为</w:t>
                  </w:r>
                  <w:r>
                    <w:rPr>
                      <w:rFonts w:hint="eastAsia"/>
                      <w:color w:val="auto"/>
                      <w:highlight w:val="none"/>
                    </w:rPr>
                    <w:t>4级，次要及临时</w:t>
                  </w:r>
                  <w:r>
                    <w:rPr>
                      <w:color w:val="auto"/>
                      <w:highlight w:val="none"/>
                    </w:rPr>
                    <w:t>建筑物</w:t>
                  </w:r>
                  <w:r>
                    <w:rPr>
                      <w:rFonts w:hint="eastAsia"/>
                      <w:color w:val="auto"/>
                      <w:highlight w:val="none"/>
                    </w:rPr>
                    <w:t>级别为5级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4</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桃园村二组四方地河坝左岸段</w:t>
                  </w:r>
                </w:p>
              </w:tc>
              <w:tc>
                <w:tcPr>
                  <w:tcW w:w="742" w:type="dxa"/>
                  <w:tcBorders>
                    <w:tl2br w:val="nil"/>
                    <w:tr2bl w:val="nil"/>
                  </w:tcBorders>
                  <w:shd w:val="clear" w:color="auto" w:fill="auto"/>
                  <w:vAlign w:val="center"/>
                </w:tcPr>
                <w:p>
                  <w:pPr>
                    <w:pStyle w:val="67"/>
                    <w:rPr>
                      <w:color w:val="auto"/>
                      <w:highlight w:val="none"/>
                    </w:rPr>
                  </w:pPr>
                </w:p>
              </w:tc>
              <w:tc>
                <w:tcPr>
                  <w:tcW w:w="1542" w:type="dxa"/>
                  <w:tcBorders>
                    <w:tl2br w:val="nil"/>
                    <w:tr2bl w:val="nil"/>
                  </w:tcBorders>
                  <w:shd w:val="clear" w:color="auto" w:fill="auto"/>
                  <w:vAlign w:val="center"/>
                </w:tcPr>
                <w:p>
                  <w:pPr>
                    <w:pStyle w:val="67"/>
                    <w:rPr>
                      <w:color w:val="auto"/>
                      <w:highlight w:val="none"/>
                    </w:rPr>
                  </w:pPr>
                </w:p>
              </w:tc>
              <w:tc>
                <w:tcPr>
                  <w:tcW w:w="2072" w:type="dxa"/>
                  <w:tcBorders>
                    <w:tl2br w:val="nil"/>
                    <w:tr2bl w:val="nil"/>
                  </w:tcBorders>
                  <w:shd w:val="clear" w:color="auto" w:fill="auto"/>
                  <w:vAlign w:val="center"/>
                </w:tcPr>
                <w:p>
                  <w:pPr>
                    <w:pStyle w:val="67"/>
                    <w:rPr>
                      <w:color w:val="auto"/>
                      <w:highlight w:val="none"/>
                    </w:rPr>
                  </w:pPr>
                  <w:r>
                    <w:rPr>
                      <w:rFonts w:hint="eastAsia"/>
                      <w:color w:val="auto"/>
                      <w:highlight w:val="none"/>
                    </w:rPr>
                    <w:t>主要</w:t>
                  </w:r>
                  <w:r>
                    <w:rPr>
                      <w:color w:val="auto"/>
                      <w:highlight w:val="none"/>
                    </w:rPr>
                    <w:t>建筑物为</w:t>
                  </w:r>
                  <w:r>
                    <w:rPr>
                      <w:rFonts w:hint="eastAsia"/>
                      <w:color w:val="auto"/>
                      <w:highlight w:val="none"/>
                    </w:rPr>
                    <w:t>4级，次要及临时</w:t>
                  </w:r>
                  <w:r>
                    <w:rPr>
                      <w:color w:val="auto"/>
                      <w:highlight w:val="none"/>
                    </w:rPr>
                    <w:t>建筑物</w:t>
                  </w:r>
                  <w:r>
                    <w:rPr>
                      <w:rFonts w:hint="eastAsia"/>
                      <w:color w:val="auto"/>
                      <w:highlight w:val="none"/>
                    </w:rPr>
                    <w:t>级别为5级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5</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西河村一组猕猴桃园区左岸段</w:t>
                  </w:r>
                </w:p>
              </w:tc>
              <w:tc>
                <w:tcPr>
                  <w:tcW w:w="742" w:type="dxa"/>
                  <w:tcBorders>
                    <w:tl2br w:val="nil"/>
                    <w:tr2bl w:val="nil"/>
                  </w:tcBorders>
                  <w:shd w:val="clear" w:color="auto" w:fill="auto"/>
                  <w:vAlign w:val="center"/>
                </w:tcPr>
                <w:p>
                  <w:pPr>
                    <w:pStyle w:val="67"/>
                    <w:rPr>
                      <w:color w:val="auto"/>
                      <w:highlight w:val="none"/>
                    </w:rPr>
                  </w:pPr>
                </w:p>
              </w:tc>
              <w:tc>
                <w:tcPr>
                  <w:tcW w:w="1542" w:type="dxa"/>
                  <w:tcBorders>
                    <w:tl2br w:val="nil"/>
                    <w:tr2bl w:val="nil"/>
                  </w:tcBorders>
                  <w:shd w:val="clear" w:color="auto" w:fill="auto"/>
                  <w:vAlign w:val="center"/>
                </w:tcPr>
                <w:p>
                  <w:pPr>
                    <w:pStyle w:val="67"/>
                    <w:rPr>
                      <w:color w:val="auto"/>
                      <w:highlight w:val="none"/>
                    </w:rPr>
                  </w:pPr>
                </w:p>
              </w:tc>
              <w:tc>
                <w:tcPr>
                  <w:tcW w:w="2072" w:type="dxa"/>
                  <w:tcBorders>
                    <w:tl2br w:val="nil"/>
                    <w:tr2bl w:val="nil"/>
                  </w:tcBorders>
                  <w:shd w:val="clear" w:color="auto" w:fill="auto"/>
                  <w:vAlign w:val="center"/>
                </w:tcPr>
                <w:p>
                  <w:pPr>
                    <w:pStyle w:val="67"/>
                    <w:rPr>
                      <w:color w:val="auto"/>
                      <w:highlight w:val="none"/>
                    </w:rPr>
                  </w:pPr>
                  <w:r>
                    <w:rPr>
                      <w:rFonts w:hint="eastAsia"/>
                      <w:color w:val="auto"/>
                      <w:highlight w:val="none"/>
                    </w:rPr>
                    <w:t>主要</w:t>
                  </w:r>
                  <w:r>
                    <w:rPr>
                      <w:color w:val="auto"/>
                      <w:highlight w:val="none"/>
                    </w:rPr>
                    <w:t>建筑物为</w:t>
                  </w:r>
                  <w:r>
                    <w:rPr>
                      <w:rFonts w:hint="eastAsia"/>
                      <w:color w:val="auto"/>
                      <w:highlight w:val="none"/>
                    </w:rPr>
                    <w:t>5级，次要及临时</w:t>
                  </w:r>
                  <w:r>
                    <w:rPr>
                      <w:color w:val="auto"/>
                      <w:highlight w:val="none"/>
                    </w:rPr>
                    <w:t>建筑物</w:t>
                  </w:r>
                  <w:r>
                    <w:rPr>
                      <w:rFonts w:hint="eastAsia"/>
                      <w:color w:val="auto"/>
                      <w:highlight w:val="none"/>
                    </w:rPr>
                    <w:t>级别为5级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6</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西河村二组右岸段</w:t>
                  </w:r>
                </w:p>
              </w:tc>
              <w:tc>
                <w:tcPr>
                  <w:tcW w:w="742" w:type="dxa"/>
                  <w:tcBorders>
                    <w:tl2br w:val="nil"/>
                    <w:tr2bl w:val="nil"/>
                  </w:tcBorders>
                  <w:shd w:val="clear" w:color="auto" w:fill="auto"/>
                  <w:vAlign w:val="center"/>
                </w:tcPr>
                <w:p>
                  <w:pPr>
                    <w:pStyle w:val="67"/>
                    <w:rPr>
                      <w:color w:val="auto"/>
                      <w:highlight w:val="none"/>
                    </w:rPr>
                  </w:pPr>
                </w:p>
              </w:tc>
              <w:tc>
                <w:tcPr>
                  <w:tcW w:w="1542" w:type="dxa"/>
                  <w:tcBorders>
                    <w:tl2br w:val="nil"/>
                    <w:tr2bl w:val="nil"/>
                  </w:tcBorders>
                  <w:shd w:val="clear" w:color="auto" w:fill="auto"/>
                  <w:vAlign w:val="center"/>
                </w:tcPr>
                <w:p>
                  <w:pPr>
                    <w:pStyle w:val="67"/>
                    <w:rPr>
                      <w:color w:val="auto"/>
                      <w:highlight w:val="none"/>
                    </w:rPr>
                  </w:pPr>
                </w:p>
              </w:tc>
              <w:tc>
                <w:tcPr>
                  <w:tcW w:w="2072" w:type="dxa"/>
                  <w:tcBorders>
                    <w:tl2br w:val="nil"/>
                    <w:tr2bl w:val="nil"/>
                  </w:tcBorders>
                  <w:shd w:val="clear" w:color="auto" w:fill="auto"/>
                  <w:vAlign w:val="center"/>
                </w:tcPr>
                <w:p>
                  <w:pPr>
                    <w:pStyle w:val="67"/>
                    <w:rPr>
                      <w:color w:val="auto"/>
                      <w:highlight w:val="none"/>
                    </w:rPr>
                  </w:pPr>
                  <w:r>
                    <w:rPr>
                      <w:rFonts w:hint="eastAsia"/>
                      <w:color w:val="auto"/>
                      <w:highlight w:val="none"/>
                    </w:rPr>
                    <w:t>主要</w:t>
                  </w:r>
                  <w:r>
                    <w:rPr>
                      <w:color w:val="auto"/>
                      <w:highlight w:val="none"/>
                    </w:rPr>
                    <w:t>建筑物为</w:t>
                  </w:r>
                  <w:r>
                    <w:rPr>
                      <w:rFonts w:hint="eastAsia"/>
                      <w:color w:val="auto"/>
                      <w:highlight w:val="none"/>
                    </w:rPr>
                    <w:t>5级，次要及临时</w:t>
                  </w:r>
                  <w:r>
                    <w:rPr>
                      <w:color w:val="auto"/>
                      <w:highlight w:val="none"/>
                    </w:rPr>
                    <w:t>建筑物</w:t>
                  </w:r>
                  <w:r>
                    <w:rPr>
                      <w:rFonts w:hint="eastAsia"/>
                      <w:color w:val="auto"/>
                      <w:highlight w:val="none"/>
                    </w:rPr>
                    <w:t>级别为5级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7</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龙安村龙安电站左岸段</w:t>
                  </w:r>
                </w:p>
              </w:tc>
              <w:tc>
                <w:tcPr>
                  <w:tcW w:w="742" w:type="dxa"/>
                  <w:tcBorders>
                    <w:tl2br w:val="nil"/>
                    <w:tr2bl w:val="nil"/>
                  </w:tcBorders>
                  <w:shd w:val="clear" w:color="auto" w:fill="auto"/>
                  <w:vAlign w:val="center"/>
                </w:tcPr>
                <w:p>
                  <w:pPr>
                    <w:pStyle w:val="67"/>
                    <w:rPr>
                      <w:color w:val="auto"/>
                      <w:highlight w:val="none"/>
                    </w:rPr>
                  </w:pPr>
                </w:p>
              </w:tc>
              <w:tc>
                <w:tcPr>
                  <w:tcW w:w="1542" w:type="dxa"/>
                  <w:tcBorders>
                    <w:tl2br w:val="nil"/>
                    <w:tr2bl w:val="nil"/>
                  </w:tcBorders>
                  <w:shd w:val="clear" w:color="auto" w:fill="auto"/>
                  <w:vAlign w:val="center"/>
                </w:tcPr>
                <w:p>
                  <w:pPr>
                    <w:pStyle w:val="67"/>
                    <w:rPr>
                      <w:color w:val="auto"/>
                      <w:highlight w:val="none"/>
                    </w:rPr>
                  </w:pPr>
                </w:p>
              </w:tc>
              <w:tc>
                <w:tcPr>
                  <w:tcW w:w="2072" w:type="dxa"/>
                  <w:tcBorders>
                    <w:tl2br w:val="nil"/>
                    <w:tr2bl w:val="nil"/>
                  </w:tcBorders>
                  <w:shd w:val="clear" w:color="auto" w:fill="auto"/>
                  <w:vAlign w:val="center"/>
                </w:tcPr>
                <w:p>
                  <w:pPr>
                    <w:pStyle w:val="67"/>
                    <w:rPr>
                      <w:color w:val="auto"/>
                      <w:highlight w:val="none"/>
                    </w:rPr>
                  </w:pPr>
                  <w:r>
                    <w:rPr>
                      <w:rFonts w:hint="eastAsia"/>
                      <w:color w:val="auto"/>
                      <w:highlight w:val="none"/>
                    </w:rPr>
                    <w:t>主要</w:t>
                  </w:r>
                  <w:r>
                    <w:rPr>
                      <w:color w:val="auto"/>
                      <w:highlight w:val="none"/>
                    </w:rPr>
                    <w:t>建筑物为</w:t>
                  </w:r>
                  <w:r>
                    <w:rPr>
                      <w:rFonts w:hint="eastAsia"/>
                      <w:color w:val="auto"/>
                      <w:highlight w:val="none"/>
                    </w:rPr>
                    <w:t>4级，次要及临时</w:t>
                  </w:r>
                  <w:r>
                    <w:rPr>
                      <w:color w:val="auto"/>
                      <w:highlight w:val="none"/>
                    </w:rPr>
                    <w:t>建筑物</w:t>
                  </w:r>
                  <w:r>
                    <w:rPr>
                      <w:rFonts w:hint="eastAsia"/>
                      <w:color w:val="auto"/>
                      <w:highlight w:val="none"/>
                    </w:rPr>
                    <w:t>级别为5级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8</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大盘河新生村左岸段</w:t>
                  </w:r>
                </w:p>
              </w:tc>
              <w:tc>
                <w:tcPr>
                  <w:tcW w:w="742" w:type="dxa"/>
                  <w:tcBorders>
                    <w:tl2br w:val="nil"/>
                    <w:tr2bl w:val="nil"/>
                  </w:tcBorders>
                  <w:shd w:val="clear" w:color="auto" w:fill="auto"/>
                  <w:vAlign w:val="center"/>
                </w:tcPr>
                <w:p>
                  <w:pPr>
                    <w:pStyle w:val="67"/>
                    <w:rPr>
                      <w:color w:val="auto"/>
                      <w:highlight w:val="none"/>
                    </w:rPr>
                  </w:pPr>
                </w:p>
              </w:tc>
              <w:tc>
                <w:tcPr>
                  <w:tcW w:w="1542" w:type="dxa"/>
                  <w:tcBorders>
                    <w:tl2br w:val="nil"/>
                    <w:tr2bl w:val="nil"/>
                  </w:tcBorders>
                  <w:shd w:val="clear" w:color="auto" w:fill="auto"/>
                  <w:vAlign w:val="center"/>
                </w:tcPr>
                <w:p>
                  <w:pPr>
                    <w:pStyle w:val="67"/>
                    <w:rPr>
                      <w:color w:val="auto"/>
                      <w:highlight w:val="none"/>
                    </w:rPr>
                  </w:pPr>
                </w:p>
              </w:tc>
              <w:tc>
                <w:tcPr>
                  <w:tcW w:w="2072" w:type="dxa"/>
                  <w:tcBorders>
                    <w:tl2br w:val="nil"/>
                    <w:tr2bl w:val="nil"/>
                  </w:tcBorders>
                  <w:shd w:val="clear" w:color="auto" w:fill="auto"/>
                  <w:vAlign w:val="center"/>
                </w:tcPr>
                <w:p>
                  <w:pPr>
                    <w:pStyle w:val="67"/>
                    <w:rPr>
                      <w:color w:val="auto"/>
                      <w:highlight w:val="none"/>
                    </w:rPr>
                  </w:pPr>
                  <w:r>
                    <w:rPr>
                      <w:rFonts w:hint="eastAsia"/>
                      <w:color w:val="auto"/>
                      <w:highlight w:val="none"/>
                    </w:rPr>
                    <w:t>主要</w:t>
                  </w:r>
                  <w:r>
                    <w:rPr>
                      <w:color w:val="auto"/>
                      <w:highlight w:val="none"/>
                    </w:rPr>
                    <w:t>建筑物为</w:t>
                  </w:r>
                  <w:r>
                    <w:rPr>
                      <w:rFonts w:hint="eastAsia"/>
                      <w:color w:val="auto"/>
                      <w:highlight w:val="none"/>
                    </w:rPr>
                    <w:t>4级，次要及临时</w:t>
                  </w:r>
                  <w:r>
                    <w:rPr>
                      <w:color w:val="auto"/>
                      <w:highlight w:val="none"/>
                    </w:rPr>
                    <w:t>建筑物</w:t>
                  </w:r>
                  <w:r>
                    <w:rPr>
                      <w:rFonts w:hint="eastAsia"/>
                      <w:color w:val="auto"/>
                      <w:highlight w:val="none"/>
                    </w:rPr>
                    <w:t>级别为5级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三</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防洪标准</w:t>
                  </w:r>
                </w:p>
              </w:tc>
              <w:tc>
                <w:tcPr>
                  <w:tcW w:w="742" w:type="dxa"/>
                  <w:tcBorders>
                    <w:tl2br w:val="nil"/>
                    <w:tr2bl w:val="nil"/>
                  </w:tcBorders>
                  <w:shd w:val="clear" w:color="auto" w:fill="auto"/>
                  <w:vAlign w:val="center"/>
                </w:tcPr>
                <w:p>
                  <w:pPr>
                    <w:pStyle w:val="67"/>
                    <w:rPr>
                      <w:color w:val="auto"/>
                      <w:highlight w:val="none"/>
                    </w:rPr>
                  </w:pPr>
                </w:p>
              </w:tc>
              <w:tc>
                <w:tcPr>
                  <w:tcW w:w="1542" w:type="dxa"/>
                  <w:tcBorders>
                    <w:tl2br w:val="nil"/>
                    <w:tr2bl w:val="nil"/>
                  </w:tcBorders>
                  <w:shd w:val="clear" w:color="auto" w:fill="auto"/>
                  <w:vAlign w:val="center"/>
                </w:tcPr>
                <w:p>
                  <w:pPr>
                    <w:pStyle w:val="67"/>
                    <w:rPr>
                      <w:color w:val="auto"/>
                      <w:highlight w:val="none"/>
                    </w:rPr>
                  </w:pP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1</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岚河九台村段</w:t>
                  </w:r>
                </w:p>
              </w:tc>
              <w:tc>
                <w:tcPr>
                  <w:tcW w:w="742" w:type="dxa"/>
                  <w:tcBorders>
                    <w:tl2br w:val="nil"/>
                    <w:tr2bl w:val="nil"/>
                  </w:tcBorders>
                  <w:shd w:val="clear" w:color="auto" w:fill="auto"/>
                  <w:vAlign w:val="center"/>
                </w:tcPr>
                <w:p>
                  <w:pPr>
                    <w:pStyle w:val="67"/>
                    <w:rPr>
                      <w:color w:val="auto"/>
                      <w:highlight w:val="none"/>
                    </w:rPr>
                  </w:pP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20年一遇洪水</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2</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武学村二组瓦西沟口右岸段</w:t>
                  </w:r>
                </w:p>
              </w:tc>
              <w:tc>
                <w:tcPr>
                  <w:tcW w:w="742" w:type="dxa"/>
                  <w:tcBorders>
                    <w:tl2br w:val="nil"/>
                    <w:tr2bl w:val="nil"/>
                  </w:tcBorders>
                  <w:shd w:val="clear" w:color="auto" w:fill="auto"/>
                  <w:vAlign w:val="center"/>
                </w:tcPr>
                <w:p>
                  <w:pPr>
                    <w:pStyle w:val="67"/>
                    <w:rPr>
                      <w:color w:val="auto"/>
                      <w:highlight w:val="none"/>
                    </w:rPr>
                  </w:pP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20年一遇洪水</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3</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柏杨林村三组石滚坝右岸段</w:t>
                  </w:r>
                </w:p>
              </w:tc>
              <w:tc>
                <w:tcPr>
                  <w:tcW w:w="742" w:type="dxa"/>
                  <w:tcBorders>
                    <w:tl2br w:val="nil"/>
                    <w:tr2bl w:val="nil"/>
                  </w:tcBorders>
                  <w:shd w:val="clear" w:color="auto" w:fill="auto"/>
                  <w:vAlign w:val="center"/>
                </w:tcPr>
                <w:p>
                  <w:pPr>
                    <w:pStyle w:val="67"/>
                    <w:rPr>
                      <w:color w:val="auto"/>
                      <w:highlight w:val="none"/>
                    </w:rPr>
                  </w:pP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20年一遇洪水</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4</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桃园村二组四方地河坝左岸段</w:t>
                  </w:r>
                </w:p>
              </w:tc>
              <w:tc>
                <w:tcPr>
                  <w:tcW w:w="742" w:type="dxa"/>
                  <w:tcBorders>
                    <w:tl2br w:val="nil"/>
                    <w:tr2bl w:val="nil"/>
                  </w:tcBorders>
                  <w:shd w:val="clear" w:color="auto" w:fill="auto"/>
                  <w:vAlign w:val="center"/>
                </w:tcPr>
                <w:p>
                  <w:pPr>
                    <w:pStyle w:val="67"/>
                    <w:rPr>
                      <w:color w:val="auto"/>
                      <w:highlight w:val="none"/>
                    </w:rPr>
                  </w:pP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20年一遇洪水</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5</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西河村一组猕猴桃园区左岸段</w:t>
                  </w:r>
                </w:p>
              </w:tc>
              <w:tc>
                <w:tcPr>
                  <w:tcW w:w="742" w:type="dxa"/>
                  <w:tcBorders>
                    <w:tl2br w:val="nil"/>
                    <w:tr2bl w:val="nil"/>
                  </w:tcBorders>
                  <w:shd w:val="clear" w:color="auto" w:fill="auto"/>
                  <w:vAlign w:val="center"/>
                </w:tcPr>
                <w:p>
                  <w:pPr>
                    <w:pStyle w:val="67"/>
                    <w:rPr>
                      <w:color w:val="auto"/>
                      <w:highlight w:val="none"/>
                    </w:rPr>
                  </w:pP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10年一遇洪水</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6</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西河村二组右岸段</w:t>
                  </w:r>
                </w:p>
              </w:tc>
              <w:tc>
                <w:tcPr>
                  <w:tcW w:w="742" w:type="dxa"/>
                  <w:tcBorders>
                    <w:tl2br w:val="nil"/>
                    <w:tr2bl w:val="nil"/>
                  </w:tcBorders>
                  <w:shd w:val="clear" w:color="auto" w:fill="auto"/>
                  <w:vAlign w:val="center"/>
                </w:tcPr>
                <w:p>
                  <w:pPr>
                    <w:pStyle w:val="67"/>
                    <w:rPr>
                      <w:color w:val="auto"/>
                      <w:highlight w:val="none"/>
                    </w:rPr>
                  </w:pP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10年一遇洪水</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7</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龙安村龙安电站左岸段</w:t>
                  </w:r>
                </w:p>
              </w:tc>
              <w:tc>
                <w:tcPr>
                  <w:tcW w:w="742" w:type="dxa"/>
                  <w:tcBorders>
                    <w:tl2br w:val="nil"/>
                    <w:tr2bl w:val="nil"/>
                  </w:tcBorders>
                  <w:shd w:val="clear" w:color="auto" w:fill="auto"/>
                  <w:vAlign w:val="center"/>
                </w:tcPr>
                <w:p>
                  <w:pPr>
                    <w:pStyle w:val="67"/>
                    <w:rPr>
                      <w:color w:val="auto"/>
                      <w:highlight w:val="none"/>
                    </w:rPr>
                  </w:pP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20年一遇洪水</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8</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大盘河新生村左岸段</w:t>
                  </w:r>
                </w:p>
              </w:tc>
              <w:tc>
                <w:tcPr>
                  <w:tcW w:w="742" w:type="dxa"/>
                  <w:tcBorders>
                    <w:tl2br w:val="nil"/>
                    <w:tr2bl w:val="nil"/>
                  </w:tcBorders>
                  <w:shd w:val="clear" w:color="auto" w:fill="auto"/>
                  <w:vAlign w:val="center"/>
                </w:tcPr>
                <w:p>
                  <w:pPr>
                    <w:pStyle w:val="67"/>
                    <w:rPr>
                      <w:color w:val="auto"/>
                      <w:highlight w:val="none"/>
                    </w:rPr>
                  </w:pP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20年一遇洪水</w:t>
                  </w:r>
                </w:p>
              </w:tc>
              <w:tc>
                <w:tcPr>
                  <w:tcW w:w="2072" w:type="dxa"/>
                  <w:tcBorders>
                    <w:tl2br w:val="nil"/>
                    <w:tr2bl w:val="nil"/>
                  </w:tcBorders>
                  <w:shd w:val="clear" w:color="auto" w:fill="auto"/>
                  <w:vAlign w:val="center"/>
                </w:tcPr>
                <w:p>
                  <w:pPr>
                    <w:pStyle w:val="67"/>
                    <w:rPr>
                      <w:color w:val="auto"/>
                      <w:highlight w:val="none"/>
                    </w:rPr>
                  </w:pPr>
                  <w:r>
                    <w:rPr>
                      <w:rFonts w:hint="eastAsia"/>
                      <w:color w:val="auto"/>
                      <w:highlight w:val="none"/>
                    </w:rPr>
                    <w:t>护岸段10年一遇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rFonts w:hint="eastAsia" w:eastAsia="宋体"/>
                      <w:color w:val="auto"/>
                      <w:highlight w:val="none"/>
                      <w:lang w:eastAsia="zh-CN"/>
                    </w:rPr>
                  </w:pPr>
                  <w:r>
                    <w:rPr>
                      <w:rFonts w:hint="eastAsia"/>
                      <w:color w:val="auto"/>
                      <w:highlight w:val="none"/>
                      <w:lang w:eastAsia="zh-CN"/>
                    </w:rPr>
                    <w:t>四</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治理河段名称</w:t>
                  </w:r>
                </w:p>
              </w:tc>
              <w:tc>
                <w:tcPr>
                  <w:tcW w:w="742" w:type="dxa"/>
                  <w:tcBorders>
                    <w:tl2br w:val="nil"/>
                    <w:tr2bl w:val="nil"/>
                  </w:tcBorders>
                  <w:shd w:val="clear" w:color="auto" w:fill="auto"/>
                  <w:vAlign w:val="center"/>
                </w:tcPr>
                <w:p>
                  <w:pPr>
                    <w:pStyle w:val="67"/>
                    <w:rPr>
                      <w:color w:val="auto"/>
                      <w:highlight w:val="none"/>
                    </w:rPr>
                  </w:pPr>
                  <w:r>
                    <w:rPr>
                      <w:color w:val="auto"/>
                      <w:highlight w:val="none"/>
                    </w:rPr>
                    <w:t>岸别</w:t>
                  </w:r>
                </w:p>
              </w:tc>
              <w:tc>
                <w:tcPr>
                  <w:tcW w:w="1542" w:type="dxa"/>
                  <w:tcBorders>
                    <w:tl2br w:val="nil"/>
                    <w:tr2bl w:val="nil"/>
                  </w:tcBorders>
                  <w:shd w:val="clear" w:color="auto" w:fill="auto"/>
                  <w:vAlign w:val="center"/>
                </w:tcPr>
                <w:p>
                  <w:pPr>
                    <w:pStyle w:val="67"/>
                    <w:rPr>
                      <w:color w:val="auto"/>
                      <w:highlight w:val="none"/>
                    </w:rPr>
                  </w:pPr>
                  <w:r>
                    <w:rPr>
                      <w:color w:val="auto"/>
                      <w:highlight w:val="none"/>
                    </w:rPr>
                    <w:t>工程长度</w:t>
                  </w:r>
                  <w:r>
                    <w:rPr>
                      <w:rFonts w:hint="eastAsia"/>
                      <w:color w:val="auto"/>
                      <w:highlight w:val="none"/>
                    </w:rPr>
                    <w:t>（m）</w:t>
                  </w:r>
                </w:p>
              </w:tc>
              <w:tc>
                <w:tcPr>
                  <w:tcW w:w="2072" w:type="dxa"/>
                  <w:tcBorders>
                    <w:tl2br w:val="nil"/>
                    <w:tr2bl w:val="nil"/>
                  </w:tcBorders>
                  <w:shd w:val="clear" w:color="auto" w:fill="auto"/>
                  <w:vAlign w:val="center"/>
                </w:tcPr>
                <w:p>
                  <w:pPr>
                    <w:pStyle w:val="67"/>
                    <w:rPr>
                      <w:color w:val="auto"/>
                      <w:highlight w:val="none"/>
                    </w:rPr>
                  </w:pPr>
                  <w:r>
                    <w:rPr>
                      <w:color w:val="auto"/>
                      <w:highlight w:val="none"/>
                    </w:rPr>
                    <w:t>断面型式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1</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岚河九台村段</w:t>
                  </w:r>
                </w:p>
              </w:tc>
              <w:tc>
                <w:tcPr>
                  <w:tcW w:w="742" w:type="dxa"/>
                  <w:tcBorders>
                    <w:tl2br w:val="nil"/>
                    <w:tr2bl w:val="nil"/>
                  </w:tcBorders>
                  <w:shd w:val="clear" w:color="auto" w:fill="auto"/>
                  <w:vAlign w:val="center"/>
                </w:tcPr>
                <w:p>
                  <w:pPr>
                    <w:pStyle w:val="67"/>
                    <w:rPr>
                      <w:color w:val="auto"/>
                      <w:highlight w:val="none"/>
                    </w:rPr>
                  </w:pPr>
                  <w:r>
                    <w:rPr>
                      <w:rFonts w:hint="eastAsia"/>
                      <w:color w:val="auto"/>
                      <w:highlight w:val="none"/>
                    </w:rPr>
                    <w:t>左右岸</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647.76</w:t>
                  </w:r>
                </w:p>
              </w:tc>
              <w:tc>
                <w:tcPr>
                  <w:tcW w:w="2072" w:type="dxa"/>
                  <w:tcBorders>
                    <w:tl2br w:val="nil"/>
                    <w:tr2bl w:val="nil"/>
                  </w:tcBorders>
                  <w:shd w:val="clear" w:color="auto" w:fill="auto"/>
                  <w:vAlign w:val="center"/>
                </w:tcPr>
                <w:p>
                  <w:pPr>
                    <w:pStyle w:val="67"/>
                    <w:rPr>
                      <w:color w:val="auto"/>
                      <w:highlight w:val="none"/>
                    </w:rPr>
                  </w:pPr>
                  <w:r>
                    <w:rPr>
                      <w:rFonts w:hint="eastAsia" w:ascii="宋体" w:hAnsi="宋体" w:cs="宋体"/>
                      <w:color w:val="auto"/>
                      <w:kern w:val="0"/>
                      <w:szCs w:val="21"/>
                      <w:highlight w:val="none"/>
                      <w:lang w:bidi="ar"/>
                    </w:rPr>
                    <w:t>仰斜式挡墙：</w:t>
                  </w:r>
                  <w:r>
                    <w:rPr>
                      <w:color w:val="auto"/>
                      <w:kern w:val="0"/>
                      <w:szCs w:val="21"/>
                      <w:highlight w:val="none"/>
                      <w:lang w:bidi="ar"/>
                    </w:rPr>
                    <w:t>C20</w:t>
                  </w:r>
                  <w:r>
                    <w:rPr>
                      <w:rFonts w:hint="eastAsia" w:ascii="宋体" w:hAnsi="宋体" w:cs="宋体"/>
                      <w:color w:val="auto"/>
                      <w:kern w:val="0"/>
                      <w:szCs w:val="21"/>
                      <w:highlight w:val="none"/>
                      <w:lang w:bidi="ar"/>
                    </w:rPr>
                    <w:t>埋石砼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2</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武学村二组瓦西沟口右岸段</w:t>
                  </w:r>
                </w:p>
              </w:tc>
              <w:tc>
                <w:tcPr>
                  <w:tcW w:w="742" w:type="dxa"/>
                  <w:tcBorders>
                    <w:tl2br w:val="nil"/>
                    <w:tr2bl w:val="nil"/>
                  </w:tcBorders>
                  <w:shd w:val="clear" w:color="auto" w:fill="auto"/>
                  <w:vAlign w:val="center"/>
                </w:tcPr>
                <w:p>
                  <w:pPr>
                    <w:pStyle w:val="67"/>
                    <w:rPr>
                      <w:color w:val="auto"/>
                      <w:highlight w:val="none"/>
                    </w:rPr>
                  </w:pPr>
                  <w:r>
                    <w:rPr>
                      <w:rFonts w:hint="eastAsia"/>
                      <w:color w:val="auto"/>
                      <w:highlight w:val="none"/>
                    </w:rPr>
                    <w:t>右岸</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40.00</w:t>
                  </w:r>
                </w:p>
              </w:tc>
              <w:tc>
                <w:tcPr>
                  <w:tcW w:w="2072" w:type="dxa"/>
                  <w:tcBorders>
                    <w:tl2br w:val="nil"/>
                    <w:tr2bl w:val="nil"/>
                  </w:tcBorders>
                  <w:shd w:val="clear" w:color="auto" w:fill="auto"/>
                  <w:vAlign w:val="center"/>
                </w:tcPr>
                <w:p>
                  <w:pPr>
                    <w:pStyle w:val="67"/>
                    <w:rPr>
                      <w:color w:val="auto"/>
                      <w:highlight w:val="none"/>
                    </w:rPr>
                  </w:pPr>
                  <w:r>
                    <w:rPr>
                      <w:rFonts w:hint="eastAsia" w:ascii="宋体" w:hAnsi="宋体" w:cs="宋体"/>
                      <w:color w:val="auto"/>
                      <w:kern w:val="0"/>
                      <w:szCs w:val="21"/>
                      <w:highlight w:val="none"/>
                      <w:lang w:bidi="ar"/>
                    </w:rPr>
                    <w:t>直立式挡墙：</w:t>
                  </w:r>
                  <w:r>
                    <w:rPr>
                      <w:color w:val="auto"/>
                      <w:kern w:val="0"/>
                      <w:szCs w:val="21"/>
                      <w:highlight w:val="none"/>
                      <w:lang w:bidi="ar"/>
                    </w:rPr>
                    <w:t>M7.5</w:t>
                  </w:r>
                  <w:r>
                    <w:rPr>
                      <w:rFonts w:hint="eastAsia" w:ascii="宋体" w:hAnsi="宋体" w:cs="宋体"/>
                      <w:color w:val="auto"/>
                      <w:kern w:val="0"/>
                      <w:szCs w:val="21"/>
                      <w:highlight w:val="none"/>
                      <w:lang w:bidi="ar"/>
                    </w:rPr>
                    <w:t>浆砌石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3</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柏杨林村三组石滚坝右岸段</w:t>
                  </w:r>
                </w:p>
              </w:tc>
              <w:tc>
                <w:tcPr>
                  <w:tcW w:w="742" w:type="dxa"/>
                  <w:tcBorders>
                    <w:tl2br w:val="nil"/>
                    <w:tr2bl w:val="nil"/>
                  </w:tcBorders>
                  <w:shd w:val="clear" w:color="auto" w:fill="auto"/>
                  <w:vAlign w:val="center"/>
                </w:tcPr>
                <w:p>
                  <w:pPr>
                    <w:pStyle w:val="67"/>
                    <w:rPr>
                      <w:color w:val="auto"/>
                      <w:highlight w:val="none"/>
                    </w:rPr>
                  </w:pPr>
                  <w:r>
                    <w:rPr>
                      <w:rFonts w:hint="eastAsia"/>
                      <w:color w:val="auto"/>
                      <w:highlight w:val="none"/>
                    </w:rPr>
                    <w:t>右岸</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79.52</w:t>
                  </w:r>
                </w:p>
              </w:tc>
              <w:tc>
                <w:tcPr>
                  <w:tcW w:w="2072" w:type="dxa"/>
                  <w:tcBorders>
                    <w:tl2br w:val="nil"/>
                    <w:tr2bl w:val="nil"/>
                  </w:tcBorders>
                  <w:shd w:val="clear" w:color="auto" w:fill="auto"/>
                  <w:vAlign w:val="center"/>
                </w:tcPr>
                <w:p>
                  <w:pPr>
                    <w:pStyle w:val="67"/>
                    <w:rPr>
                      <w:color w:val="auto"/>
                      <w:highlight w:val="none"/>
                    </w:rPr>
                  </w:pPr>
                  <w:r>
                    <w:rPr>
                      <w:rFonts w:hint="eastAsia" w:ascii="宋体" w:hAnsi="宋体" w:cs="宋体"/>
                      <w:color w:val="auto"/>
                      <w:kern w:val="0"/>
                      <w:szCs w:val="21"/>
                      <w:highlight w:val="none"/>
                      <w:lang w:bidi="ar"/>
                    </w:rPr>
                    <w:t>仰斜式挡墙：</w:t>
                  </w:r>
                  <w:r>
                    <w:rPr>
                      <w:color w:val="auto"/>
                      <w:kern w:val="0"/>
                      <w:szCs w:val="21"/>
                      <w:highlight w:val="none"/>
                      <w:lang w:bidi="ar"/>
                    </w:rPr>
                    <w:t>C20</w:t>
                  </w:r>
                  <w:r>
                    <w:rPr>
                      <w:rFonts w:hint="eastAsia" w:ascii="宋体" w:hAnsi="宋体" w:cs="宋体"/>
                      <w:color w:val="auto"/>
                      <w:kern w:val="0"/>
                      <w:szCs w:val="21"/>
                      <w:highlight w:val="none"/>
                      <w:lang w:bidi="ar"/>
                    </w:rPr>
                    <w:t>埋石砼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4</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桃园村二组四方地河坝左岸段</w:t>
                  </w:r>
                </w:p>
              </w:tc>
              <w:tc>
                <w:tcPr>
                  <w:tcW w:w="742" w:type="dxa"/>
                  <w:tcBorders>
                    <w:tl2br w:val="nil"/>
                    <w:tr2bl w:val="nil"/>
                  </w:tcBorders>
                  <w:shd w:val="clear" w:color="auto" w:fill="auto"/>
                  <w:vAlign w:val="center"/>
                </w:tcPr>
                <w:p>
                  <w:pPr>
                    <w:pStyle w:val="67"/>
                    <w:rPr>
                      <w:color w:val="auto"/>
                      <w:highlight w:val="none"/>
                    </w:rPr>
                  </w:pPr>
                  <w:r>
                    <w:rPr>
                      <w:rFonts w:hint="eastAsia"/>
                      <w:color w:val="auto"/>
                      <w:highlight w:val="none"/>
                    </w:rPr>
                    <w:t>左岸</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188.60</w:t>
                  </w:r>
                </w:p>
              </w:tc>
              <w:tc>
                <w:tcPr>
                  <w:tcW w:w="2072" w:type="dxa"/>
                  <w:tcBorders>
                    <w:tl2br w:val="nil"/>
                    <w:tr2bl w:val="nil"/>
                  </w:tcBorders>
                  <w:shd w:val="clear" w:color="auto" w:fill="auto"/>
                  <w:vAlign w:val="center"/>
                </w:tcPr>
                <w:p>
                  <w:pPr>
                    <w:pStyle w:val="67"/>
                    <w:rPr>
                      <w:color w:val="auto"/>
                      <w:highlight w:val="none"/>
                    </w:rPr>
                  </w:pPr>
                  <w:r>
                    <w:rPr>
                      <w:rFonts w:hint="eastAsia" w:ascii="宋体" w:hAnsi="宋体" w:cs="宋体"/>
                      <w:color w:val="auto"/>
                      <w:kern w:val="0"/>
                      <w:szCs w:val="21"/>
                      <w:highlight w:val="none"/>
                      <w:lang w:bidi="ar"/>
                    </w:rPr>
                    <w:t>仰斜式挡墙：</w:t>
                  </w:r>
                  <w:r>
                    <w:rPr>
                      <w:color w:val="auto"/>
                      <w:kern w:val="0"/>
                      <w:szCs w:val="21"/>
                      <w:highlight w:val="none"/>
                      <w:lang w:bidi="ar"/>
                    </w:rPr>
                    <w:t>C20</w:t>
                  </w:r>
                  <w:r>
                    <w:rPr>
                      <w:rFonts w:hint="eastAsia" w:ascii="宋体" w:hAnsi="宋体" w:cs="宋体"/>
                      <w:color w:val="auto"/>
                      <w:kern w:val="0"/>
                      <w:szCs w:val="21"/>
                      <w:highlight w:val="none"/>
                      <w:lang w:bidi="ar"/>
                    </w:rPr>
                    <w:t>埋石砼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5</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西河村一组猕猴桃园区左岸段</w:t>
                  </w:r>
                </w:p>
              </w:tc>
              <w:tc>
                <w:tcPr>
                  <w:tcW w:w="742" w:type="dxa"/>
                  <w:tcBorders>
                    <w:tl2br w:val="nil"/>
                    <w:tr2bl w:val="nil"/>
                  </w:tcBorders>
                  <w:shd w:val="clear" w:color="auto" w:fill="auto"/>
                  <w:vAlign w:val="center"/>
                </w:tcPr>
                <w:p>
                  <w:pPr>
                    <w:pStyle w:val="67"/>
                    <w:rPr>
                      <w:color w:val="auto"/>
                      <w:highlight w:val="none"/>
                    </w:rPr>
                  </w:pPr>
                  <w:r>
                    <w:rPr>
                      <w:rFonts w:hint="eastAsia"/>
                      <w:color w:val="auto"/>
                      <w:highlight w:val="none"/>
                    </w:rPr>
                    <w:t>左岸</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200.00</w:t>
                  </w:r>
                </w:p>
              </w:tc>
              <w:tc>
                <w:tcPr>
                  <w:tcW w:w="2072" w:type="dxa"/>
                  <w:tcBorders>
                    <w:tl2br w:val="nil"/>
                    <w:tr2bl w:val="nil"/>
                  </w:tcBorders>
                  <w:shd w:val="clear" w:color="auto" w:fill="auto"/>
                  <w:vAlign w:val="center"/>
                </w:tcPr>
                <w:p>
                  <w:pPr>
                    <w:pStyle w:val="67"/>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仰斜式挡墙：</w:t>
                  </w:r>
                  <w:r>
                    <w:rPr>
                      <w:color w:val="auto"/>
                      <w:kern w:val="0"/>
                      <w:szCs w:val="21"/>
                      <w:highlight w:val="none"/>
                      <w:lang w:bidi="ar"/>
                    </w:rPr>
                    <w:t>C20</w:t>
                  </w:r>
                  <w:r>
                    <w:rPr>
                      <w:rFonts w:hint="eastAsia" w:ascii="宋体" w:hAnsi="宋体" w:cs="宋体"/>
                      <w:color w:val="auto"/>
                      <w:kern w:val="0"/>
                      <w:szCs w:val="21"/>
                      <w:highlight w:val="none"/>
                      <w:lang w:bidi="ar"/>
                    </w:rPr>
                    <w:t>埋石砼；</w:t>
                  </w:r>
                </w:p>
                <w:p>
                  <w:pPr>
                    <w:pStyle w:val="67"/>
                    <w:rPr>
                      <w:color w:val="auto"/>
                      <w:highlight w:val="none"/>
                    </w:rPr>
                  </w:pPr>
                  <w:r>
                    <w:rPr>
                      <w:rFonts w:hint="eastAsia" w:ascii="宋体" w:hAnsi="宋体" w:cs="宋体"/>
                      <w:color w:val="auto"/>
                      <w:kern w:val="0"/>
                      <w:szCs w:val="21"/>
                      <w:highlight w:val="none"/>
                      <w:lang w:bidi="ar"/>
                    </w:rPr>
                    <w:t>直立式挡墙：</w:t>
                  </w:r>
                  <w:r>
                    <w:rPr>
                      <w:color w:val="auto"/>
                      <w:kern w:val="0"/>
                      <w:szCs w:val="21"/>
                      <w:highlight w:val="none"/>
                      <w:lang w:bidi="ar"/>
                    </w:rPr>
                    <w:t>M7.5</w:t>
                  </w:r>
                  <w:r>
                    <w:rPr>
                      <w:rFonts w:hint="eastAsia" w:ascii="宋体" w:hAnsi="宋体" w:cs="宋体"/>
                      <w:color w:val="auto"/>
                      <w:kern w:val="0"/>
                      <w:szCs w:val="21"/>
                      <w:highlight w:val="none"/>
                      <w:lang w:bidi="ar"/>
                    </w:rPr>
                    <w:t>浆砌石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6</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西河村二组右岸段</w:t>
                  </w:r>
                </w:p>
              </w:tc>
              <w:tc>
                <w:tcPr>
                  <w:tcW w:w="742" w:type="dxa"/>
                  <w:tcBorders>
                    <w:tl2br w:val="nil"/>
                    <w:tr2bl w:val="nil"/>
                  </w:tcBorders>
                  <w:shd w:val="clear" w:color="auto" w:fill="auto"/>
                  <w:vAlign w:val="center"/>
                </w:tcPr>
                <w:p>
                  <w:pPr>
                    <w:pStyle w:val="67"/>
                    <w:rPr>
                      <w:color w:val="auto"/>
                      <w:highlight w:val="none"/>
                    </w:rPr>
                  </w:pPr>
                  <w:r>
                    <w:rPr>
                      <w:rFonts w:hint="eastAsia"/>
                      <w:color w:val="auto"/>
                      <w:highlight w:val="none"/>
                    </w:rPr>
                    <w:t>右岸</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125.50</w:t>
                  </w:r>
                </w:p>
              </w:tc>
              <w:tc>
                <w:tcPr>
                  <w:tcW w:w="2072" w:type="dxa"/>
                  <w:tcBorders>
                    <w:tl2br w:val="nil"/>
                    <w:tr2bl w:val="nil"/>
                  </w:tcBorders>
                  <w:shd w:val="clear" w:color="auto" w:fill="auto"/>
                  <w:vAlign w:val="center"/>
                </w:tcPr>
                <w:p>
                  <w:pPr>
                    <w:pStyle w:val="67"/>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直立式挡墙：</w:t>
                  </w:r>
                  <w:r>
                    <w:rPr>
                      <w:color w:val="auto"/>
                      <w:kern w:val="0"/>
                      <w:szCs w:val="21"/>
                      <w:highlight w:val="none"/>
                      <w:lang w:bidi="ar"/>
                    </w:rPr>
                    <w:t>M7.5</w:t>
                  </w:r>
                  <w:r>
                    <w:rPr>
                      <w:rFonts w:hint="eastAsia" w:ascii="宋体" w:hAnsi="宋体" w:cs="宋体"/>
                      <w:color w:val="auto"/>
                      <w:kern w:val="0"/>
                      <w:szCs w:val="21"/>
                      <w:highlight w:val="none"/>
                      <w:lang w:bidi="ar"/>
                    </w:rPr>
                    <w:t>浆砌石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7</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龙安村龙安电站左岸段</w:t>
                  </w:r>
                </w:p>
              </w:tc>
              <w:tc>
                <w:tcPr>
                  <w:tcW w:w="742" w:type="dxa"/>
                  <w:tcBorders>
                    <w:tl2br w:val="nil"/>
                    <w:tr2bl w:val="nil"/>
                  </w:tcBorders>
                  <w:shd w:val="clear" w:color="auto" w:fill="auto"/>
                  <w:vAlign w:val="center"/>
                </w:tcPr>
                <w:p>
                  <w:pPr>
                    <w:pStyle w:val="67"/>
                    <w:rPr>
                      <w:color w:val="auto"/>
                      <w:highlight w:val="none"/>
                    </w:rPr>
                  </w:pPr>
                  <w:r>
                    <w:rPr>
                      <w:rFonts w:hint="eastAsia"/>
                      <w:color w:val="auto"/>
                      <w:highlight w:val="none"/>
                    </w:rPr>
                    <w:t>左岸</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252.00</w:t>
                  </w:r>
                </w:p>
              </w:tc>
              <w:tc>
                <w:tcPr>
                  <w:tcW w:w="2072" w:type="dxa"/>
                  <w:tcBorders>
                    <w:tl2br w:val="nil"/>
                    <w:tr2bl w:val="nil"/>
                  </w:tcBorders>
                  <w:shd w:val="clear" w:color="auto" w:fill="auto"/>
                  <w:vAlign w:val="center"/>
                </w:tcPr>
                <w:p>
                  <w:pPr>
                    <w:pStyle w:val="67"/>
                    <w:rPr>
                      <w:color w:val="auto"/>
                      <w:highlight w:val="none"/>
                    </w:rPr>
                  </w:pPr>
                  <w:r>
                    <w:rPr>
                      <w:rFonts w:hint="eastAsia" w:ascii="宋体" w:hAnsi="宋体" w:cs="宋体"/>
                      <w:color w:val="auto"/>
                      <w:kern w:val="0"/>
                      <w:szCs w:val="21"/>
                      <w:highlight w:val="none"/>
                      <w:lang w:bidi="ar"/>
                    </w:rPr>
                    <w:t>仰斜式挡墙：</w:t>
                  </w:r>
                  <w:r>
                    <w:rPr>
                      <w:color w:val="auto"/>
                      <w:kern w:val="0"/>
                      <w:szCs w:val="21"/>
                      <w:highlight w:val="none"/>
                      <w:lang w:bidi="ar"/>
                    </w:rPr>
                    <w:t>C20</w:t>
                  </w:r>
                  <w:r>
                    <w:rPr>
                      <w:rFonts w:hint="eastAsia" w:ascii="宋体" w:hAnsi="宋体" w:cs="宋体"/>
                      <w:color w:val="auto"/>
                      <w:kern w:val="0"/>
                      <w:szCs w:val="21"/>
                      <w:highlight w:val="none"/>
                      <w:lang w:bidi="ar"/>
                    </w:rPr>
                    <w:t>埋石砼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8</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大盘河新生村左岸段</w:t>
                  </w:r>
                </w:p>
              </w:tc>
              <w:tc>
                <w:tcPr>
                  <w:tcW w:w="742" w:type="dxa"/>
                  <w:tcBorders>
                    <w:tl2br w:val="nil"/>
                    <w:tr2bl w:val="nil"/>
                  </w:tcBorders>
                  <w:shd w:val="clear" w:color="auto" w:fill="auto"/>
                  <w:vAlign w:val="center"/>
                </w:tcPr>
                <w:p>
                  <w:pPr>
                    <w:pStyle w:val="67"/>
                    <w:rPr>
                      <w:color w:val="auto"/>
                      <w:highlight w:val="none"/>
                    </w:rPr>
                  </w:pPr>
                  <w:r>
                    <w:rPr>
                      <w:rFonts w:hint="eastAsia"/>
                      <w:color w:val="auto"/>
                      <w:highlight w:val="none"/>
                    </w:rPr>
                    <w:t>左岸</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237.60</w:t>
                  </w:r>
                </w:p>
              </w:tc>
              <w:tc>
                <w:tcPr>
                  <w:tcW w:w="2072" w:type="dxa"/>
                  <w:tcBorders>
                    <w:tl2br w:val="nil"/>
                    <w:tr2bl w:val="nil"/>
                  </w:tcBorders>
                  <w:shd w:val="clear" w:color="auto" w:fill="auto"/>
                  <w:vAlign w:val="center"/>
                </w:tcPr>
                <w:p>
                  <w:pPr>
                    <w:pStyle w:val="67"/>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仰斜式挡墙：</w:t>
                  </w:r>
                  <w:r>
                    <w:rPr>
                      <w:color w:val="auto"/>
                      <w:kern w:val="0"/>
                      <w:szCs w:val="21"/>
                      <w:highlight w:val="none"/>
                      <w:lang w:bidi="ar"/>
                    </w:rPr>
                    <w:t>C20</w:t>
                  </w:r>
                  <w:r>
                    <w:rPr>
                      <w:rFonts w:hint="eastAsia" w:ascii="宋体" w:hAnsi="宋体" w:cs="宋体"/>
                      <w:color w:val="auto"/>
                      <w:kern w:val="0"/>
                      <w:szCs w:val="21"/>
                      <w:highlight w:val="none"/>
                      <w:lang w:bidi="ar"/>
                    </w:rPr>
                    <w:t>埋石砼，</w:t>
                  </w:r>
                </w:p>
                <w:p>
                  <w:pPr>
                    <w:pStyle w:val="67"/>
                    <w:rPr>
                      <w:rFonts w:ascii="宋体" w:hAnsi="宋体" w:cs="宋体"/>
                      <w:color w:val="auto"/>
                      <w:kern w:val="0"/>
                      <w:szCs w:val="21"/>
                      <w:highlight w:val="none"/>
                      <w:lang w:bidi="ar"/>
                    </w:rPr>
                  </w:pPr>
                  <w:r>
                    <w:rPr>
                      <w:color w:val="auto"/>
                      <w:kern w:val="0"/>
                      <w:szCs w:val="21"/>
                      <w:highlight w:val="none"/>
                      <w:lang w:bidi="ar"/>
                    </w:rPr>
                    <w:t>M7.5</w:t>
                  </w:r>
                  <w:r>
                    <w:rPr>
                      <w:rFonts w:hint="eastAsia" w:ascii="宋体" w:hAnsi="宋体" w:cs="宋体"/>
                      <w:color w:val="auto"/>
                      <w:kern w:val="0"/>
                      <w:szCs w:val="21"/>
                      <w:highlight w:val="none"/>
                      <w:lang w:bidi="ar"/>
                    </w:rPr>
                    <w:t>浆砌石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合计</w:t>
                  </w:r>
                </w:p>
              </w:tc>
              <w:tc>
                <w:tcPr>
                  <w:tcW w:w="3020" w:type="dxa"/>
                  <w:tcBorders>
                    <w:tl2br w:val="nil"/>
                    <w:tr2bl w:val="nil"/>
                  </w:tcBorders>
                  <w:shd w:val="clear" w:color="auto" w:fill="auto"/>
                  <w:vAlign w:val="center"/>
                </w:tcPr>
                <w:p>
                  <w:pPr>
                    <w:pStyle w:val="67"/>
                    <w:rPr>
                      <w:color w:val="auto"/>
                      <w:highlight w:val="none"/>
                    </w:rPr>
                  </w:pPr>
                </w:p>
              </w:tc>
              <w:tc>
                <w:tcPr>
                  <w:tcW w:w="742" w:type="dxa"/>
                  <w:tcBorders>
                    <w:tl2br w:val="nil"/>
                    <w:tr2bl w:val="nil"/>
                  </w:tcBorders>
                  <w:shd w:val="clear" w:color="auto" w:fill="auto"/>
                  <w:vAlign w:val="center"/>
                </w:tcPr>
                <w:p>
                  <w:pPr>
                    <w:pStyle w:val="67"/>
                    <w:rPr>
                      <w:color w:val="auto"/>
                      <w:highlight w:val="none"/>
                    </w:rPr>
                  </w:pP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1770.98</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rFonts w:hint="eastAsia" w:eastAsia="宋体"/>
                      <w:color w:val="auto"/>
                      <w:highlight w:val="none"/>
                      <w:lang w:eastAsia="zh-CN"/>
                    </w:rPr>
                  </w:pPr>
                  <w:r>
                    <w:rPr>
                      <w:rFonts w:hint="eastAsia"/>
                      <w:color w:val="auto"/>
                      <w:highlight w:val="none"/>
                      <w:lang w:eastAsia="zh-CN"/>
                    </w:rPr>
                    <w:t>五</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占地</w:t>
                  </w:r>
                </w:p>
              </w:tc>
              <w:tc>
                <w:tcPr>
                  <w:tcW w:w="742" w:type="dxa"/>
                  <w:tcBorders>
                    <w:tl2br w:val="nil"/>
                    <w:tr2bl w:val="nil"/>
                  </w:tcBorders>
                  <w:shd w:val="clear" w:color="auto" w:fill="auto"/>
                  <w:vAlign w:val="center"/>
                </w:tcPr>
                <w:p>
                  <w:pPr>
                    <w:pStyle w:val="67"/>
                    <w:rPr>
                      <w:color w:val="auto"/>
                      <w:highlight w:val="none"/>
                    </w:rPr>
                  </w:pPr>
                  <w:r>
                    <w:rPr>
                      <w:rFonts w:hint="eastAsia"/>
                      <w:color w:val="auto"/>
                      <w:highlight w:val="none"/>
                    </w:rPr>
                    <w:t>亩</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47.14</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color w:val="auto"/>
                      <w:highlight w:val="none"/>
                    </w:rPr>
                    <w:t>1</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永久占地</w:t>
                  </w:r>
                </w:p>
              </w:tc>
              <w:tc>
                <w:tcPr>
                  <w:tcW w:w="742" w:type="dxa"/>
                  <w:tcBorders>
                    <w:tl2br w:val="nil"/>
                    <w:tr2bl w:val="nil"/>
                  </w:tcBorders>
                  <w:shd w:val="clear" w:color="auto" w:fill="auto"/>
                  <w:vAlign w:val="center"/>
                </w:tcPr>
                <w:p>
                  <w:pPr>
                    <w:pStyle w:val="67"/>
                    <w:rPr>
                      <w:color w:val="auto"/>
                      <w:highlight w:val="none"/>
                    </w:rPr>
                  </w:pPr>
                  <w:r>
                    <w:rPr>
                      <w:rFonts w:hint="eastAsia"/>
                      <w:color w:val="auto"/>
                      <w:highlight w:val="none"/>
                    </w:rPr>
                    <w:t>亩</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9.37</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color w:val="auto"/>
                      <w:highlight w:val="none"/>
                    </w:rPr>
                    <w:t>2</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施工临时占地</w:t>
                  </w:r>
                </w:p>
              </w:tc>
              <w:tc>
                <w:tcPr>
                  <w:tcW w:w="742" w:type="dxa"/>
                  <w:tcBorders>
                    <w:tl2br w:val="nil"/>
                    <w:tr2bl w:val="nil"/>
                  </w:tcBorders>
                  <w:shd w:val="clear" w:color="auto" w:fill="auto"/>
                  <w:vAlign w:val="center"/>
                </w:tcPr>
                <w:p>
                  <w:pPr>
                    <w:pStyle w:val="67"/>
                    <w:rPr>
                      <w:color w:val="auto"/>
                      <w:highlight w:val="none"/>
                    </w:rPr>
                  </w:pPr>
                  <w:r>
                    <w:rPr>
                      <w:rFonts w:hint="eastAsia"/>
                      <w:color w:val="auto"/>
                      <w:highlight w:val="none"/>
                    </w:rPr>
                    <w:t>亩</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37.76</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rFonts w:hint="eastAsia" w:eastAsia="宋体"/>
                      <w:color w:val="auto"/>
                      <w:highlight w:val="none"/>
                      <w:lang w:eastAsia="zh-CN"/>
                    </w:rPr>
                  </w:pPr>
                  <w:r>
                    <w:rPr>
                      <w:rFonts w:hint="eastAsia"/>
                      <w:color w:val="auto"/>
                      <w:highlight w:val="none"/>
                      <w:lang w:eastAsia="zh-CN"/>
                    </w:rPr>
                    <w:t>六</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主要工程量</w:t>
                  </w:r>
                </w:p>
              </w:tc>
              <w:tc>
                <w:tcPr>
                  <w:tcW w:w="742" w:type="dxa"/>
                  <w:tcBorders>
                    <w:tl2br w:val="nil"/>
                    <w:tr2bl w:val="nil"/>
                  </w:tcBorders>
                  <w:shd w:val="clear" w:color="auto" w:fill="auto"/>
                  <w:vAlign w:val="center"/>
                </w:tcPr>
                <w:p>
                  <w:pPr>
                    <w:pStyle w:val="67"/>
                    <w:rPr>
                      <w:color w:val="auto"/>
                      <w:highlight w:val="none"/>
                    </w:rPr>
                  </w:pPr>
                </w:p>
              </w:tc>
              <w:tc>
                <w:tcPr>
                  <w:tcW w:w="1542" w:type="dxa"/>
                  <w:tcBorders>
                    <w:tl2br w:val="nil"/>
                    <w:tr2bl w:val="nil"/>
                  </w:tcBorders>
                  <w:shd w:val="clear" w:color="auto" w:fill="auto"/>
                  <w:vAlign w:val="center"/>
                </w:tcPr>
                <w:p>
                  <w:pPr>
                    <w:pStyle w:val="67"/>
                    <w:rPr>
                      <w:color w:val="auto"/>
                      <w:highlight w:val="none"/>
                    </w:rPr>
                  </w:pP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1</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清基</w:t>
                  </w:r>
                </w:p>
              </w:tc>
              <w:tc>
                <w:tcPr>
                  <w:tcW w:w="742" w:type="dxa"/>
                  <w:tcBorders>
                    <w:tl2br w:val="nil"/>
                    <w:tr2bl w:val="nil"/>
                  </w:tcBorders>
                  <w:shd w:val="clear" w:color="auto" w:fill="auto"/>
                  <w:vAlign w:val="center"/>
                </w:tcPr>
                <w:p>
                  <w:pPr>
                    <w:pStyle w:val="67"/>
                    <w:rPr>
                      <w:color w:val="auto"/>
                      <w:highlight w:val="none"/>
                    </w:rPr>
                  </w:pPr>
                  <w:r>
                    <w:rPr>
                      <w:color w:val="auto"/>
                      <w:highlight w:val="none"/>
                    </w:rPr>
                    <w:t>m³</w:t>
                  </w:r>
                </w:p>
              </w:tc>
              <w:tc>
                <w:tcPr>
                  <w:tcW w:w="1542" w:type="dxa"/>
                  <w:tcBorders>
                    <w:tl2br w:val="nil"/>
                    <w:tr2bl w:val="nil"/>
                  </w:tcBorders>
                  <w:shd w:val="clear" w:color="auto" w:fill="auto"/>
                  <w:vAlign w:val="center"/>
                </w:tcPr>
                <w:p>
                  <w:pPr>
                    <w:pStyle w:val="67"/>
                    <w:rPr>
                      <w:color w:val="auto"/>
                      <w:highlight w:val="none"/>
                    </w:rPr>
                  </w:pPr>
                  <w:r>
                    <w:rPr>
                      <w:rFonts w:hint="eastAsia" w:cs="Arial"/>
                      <w:color w:val="auto"/>
                      <w:sz w:val="21"/>
                      <w:szCs w:val="21"/>
                      <w:highlight w:val="none"/>
                    </w:rPr>
                    <w:t>6989</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2</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砂砾石开挖</w:t>
                  </w:r>
                </w:p>
              </w:tc>
              <w:tc>
                <w:tcPr>
                  <w:tcW w:w="742" w:type="dxa"/>
                  <w:tcBorders>
                    <w:tl2br w:val="nil"/>
                    <w:tr2bl w:val="nil"/>
                  </w:tcBorders>
                  <w:shd w:val="clear" w:color="auto" w:fill="auto"/>
                  <w:vAlign w:val="center"/>
                </w:tcPr>
                <w:p>
                  <w:pPr>
                    <w:pStyle w:val="67"/>
                    <w:rPr>
                      <w:color w:val="auto"/>
                      <w:highlight w:val="none"/>
                    </w:rPr>
                  </w:pPr>
                  <w:r>
                    <w:rPr>
                      <w:color w:val="auto"/>
                      <w:highlight w:val="none"/>
                    </w:rPr>
                    <w:t>m³</w:t>
                  </w:r>
                </w:p>
              </w:tc>
              <w:tc>
                <w:tcPr>
                  <w:tcW w:w="1542" w:type="dxa"/>
                  <w:tcBorders>
                    <w:tl2br w:val="nil"/>
                    <w:tr2bl w:val="nil"/>
                  </w:tcBorders>
                  <w:shd w:val="clear" w:color="auto" w:fill="auto"/>
                  <w:vAlign w:val="center"/>
                </w:tcPr>
                <w:p>
                  <w:pPr>
                    <w:pStyle w:val="67"/>
                    <w:rPr>
                      <w:color w:val="auto"/>
                      <w:highlight w:val="none"/>
                    </w:rPr>
                  </w:pPr>
                  <w:r>
                    <w:rPr>
                      <w:rFonts w:hint="eastAsia" w:cs="Arial"/>
                      <w:color w:val="auto"/>
                      <w:sz w:val="21"/>
                      <w:szCs w:val="21"/>
                      <w:highlight w:val="none"/>
                    </w:rPr>
                    <w:t>6280</w:t>
                  </w:r>
                  <w:r>
                    <w:rPr>
                      <w:rFonts w:hint="eastAsia" w:cs="Arial"/>
                      <w:color w:val="auto"/>
                      <w:sz w:val="21"/>
                      <w:szCs w:val="21"/>
                      <w:highlight w:val="none"/>
                      <w:lang w:val="en-US" w:eastAsia="zh-CN"/>
                    </w:rPr>
                    <w:t>8</w:t>
                  </w:r>
                </w:p>
              </w:tc>
              <w:tc>
                <w:tcPr>
                  <w:tcW w:w="2072" w:type="dxa"/>
                  <w:tcBorders>
                    <w:tl2br w:val="nil"/>
                    <w:tr2bl w:val="nil"/>
                  </w:tcBorders>
                  <w:shd w:val="clear" w:color="auto" w:fill="auto"/>
                  <w:vAlign w:val="bottom"/>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vMerge w:val="restart"/>
                  <w:tcBorders>
                    <w:tl2br w:val="nil"/>
                    <w:tr2bl w:val="nil"/>
                  </w:tcBorders>
                  <w:shd w:val="clear" w:color="auto" w:fill="auto"/>
                  <w:vAlign w:val="center"/>
                </w:tcPr>
                <w:p>
                  <w:pPr>
                    <w:pStyle w:val="67"/>
                    <w:rPr>
                      <w:color w:val="auto"/>
                      <w:highlight w:val="none"/>
                    </w:rPr>
                  </w:pPr>
                  <w:r>
                    <w:rPr>
                      <w:rFonts w:hint="eastAsia"/>
                      <w:color w:val="auto"/>
                      <w:highlight w:val="none"/>
                    </w:rPr>
                    <w:t>3</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砂砾石回填</w:t>
                  </w:r>
                </w:p>
              </w:tc>
              <w:tc>
                <w:tcPr>
                  <w:tcW w:w="742" w:type="dxa"/>
                  <w:tcBorders>
                    <w:tl2br w:val="nil"/>
                    <w:tr2bl w:val="nil"/>
                  </w:tcBorders>
                  <w:shd w:val="clear" w:color="auto" w:fill="auto"/>
                  <w:vAlign w:val="center"/>
                </w:tcPr>
                <w:p>
                  <w:pPr>
                    <w:pStyle w:val="67"/>
                    <w:rPr>
                      <w:color w:val="auto"/>
                      <w:highlight w:val="none"/>
                    </w:rPr>
                  </w:pPr>
                  <w:r>
                    <w:rPr>
                      <w:color w:val="auto"/>
                      <w:highlight w:val="none"/>
                    </w:rPr>
                    <w:t>m³</w:t>
                  </w:r>
                </w:p>
              </w:tc>
              <w:tc>
                <w:tcPr>
                  <w:tcW w:w="1542" w:type="dxa"/>
                  <w:tcBorders>
                    <w:tl2br w:val="nil"/>
                    <w:tr2bl w:val="nil"/>
                  </w:tcBorders>
                  <w:shd w:val="clear" w:color="auto" w:fill="auto"/>
                  <w:vAlign w:val="center"/>
                </w:tcPr>
                <w:p>
                  <w:pPr>
                    <w:pStyle w:val="67"/>
                    <w:rPr>
                      <w:color w:val="auto"/>
                      <w:highlight w:val="none"/>
                    </w:rPr>
                  </w:pPr>
                  <w:r>
                    <w:rPr>
                      <w:rFonts w:hint="default" w:ascii="Times New Roman" w:hAnsi="Times New Roman" w:eastAsia="宋体" w:cs="Times New Roman"/>
                      <w:i w:val="0"/>
                      <w:iCs w:val="0"/>
                      <w:color w:val="auto"/>
                      <w:kern w:val="0"/>
                      <w:sz w:val="21"/>
                      <w:szCs w:val="21"/>
                      <w:u w:val="none"/>
                      <w:lang w:val="en-US" w:eastAsia="zh-CN" w:bidi="ar"/>
                    </w:rPr>
                    <w:t>47671</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vMerge w:val="continue"/>
                  <w:tcBorders>
                    <w:tl2br w:val="nil"/>
                    <w:tr2bl w:val="nil"/>
                  </w:tcBorders>
                  <w:shd w:val="clear" w:color="auto" w:fill="auto"/>
                  <w:vAlign w:val="center"/>
                </w:tcPr>
                <w:p>
                  <w:pPr>
                    <w:pStyle w:val="67"/>
                    <w:rPr>
                      <w:color w:val="auto"/>
                      <w:highlight w:val="none"/>
                    </w:rPr>
                  </w:pP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弃运</w:t>
                  </w:r>
                </w:p>
              </w:tc>
              <w:tc>
                <w:tcPr>
                  <w:tcW w:w="742" w:type="dxa"/>
                  <w:tcBorders>
                    <w:tl2br w:val="nil"/>
                    <w:tr2bl w:val="nil"/>
                  </w:tcBorders>
                  <w:shd w:val="clear" w:color="auto" w:fill="auto"/>
                  <w:vAlign w:val="center"/>
                </w:tcPr>
                <w:p>
                  <w:pPr>
                    <w:pStyle w:val="67"/>
                    <w:rPr>
                      <w:color w:val="auto"/>
                      <w:highlight w:val="none"/>
                    </w:rPr>
                  </w:pPr>
                  <w:r>
                    <w:rPr>
                      <w:color w:val="auto"/>
                      <w:highlight w:val="none"/>
                    </w:rPr>
                    <w:t>m³</w:t>
                  </w:r>
                </w:p>
              </w:tc>
              <w:tc>
                <w:tcPr>
                  <w:tcW w:w="1542" w:type="dxa"/>
                  <w:tcBorders>
                    <w:tl2br w:val="nil"/>
                    <w:tr2bl w:val="nil"/>
                  </w:tcBorders>
                  <w:shd w:val="clear" w:color="auto" w:fill="auto"/>
                  <w:vAlign w:val="center"/>
                </w:tcPr>
                <w:p>
                  <w:pPr>
                    <w:pStyle w:val="67"/>
                    <w:rPr>
                      <w:color w:val="auto"/>
                      <w:highlight w:val="none"/>
                    </w:rPr>
                  </w:pPr>
                  <w:r>
                    <w:rPr>
                      <w:rFonts w:hint="default" w:ascii="Times New Roman" w:hAnsi="Times New Roman" w:eastAsia="宋体" w:cs="Times New Roman"/>
                      <w:i w:val="0"/>
                      <w:iCs w:val="0"/>
                      <w:color w:val="auto"/>
                      <w:kern w:val="0"/>
                      <w:sz w:val="21"/>
                      <w:szCs w:val="21"/>
                      <w:u w:val="none"/>
                      <w:lang w:val="en-US" w:eastAsia="zh-CN" w:bidi="ar"/>
                    </w:rPr>
                    <w:t>22126</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4</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C20埋石混凝土</w:t>
                  </w:r>
                </w:p>
              </w:tc>
              <w:tc>
                <w:tcPr>
                  <w:tcW w:w="742" w:type="dxa"/>
                  <w:tcBorders>
                    <w:tl2br w:val="nil"/>
                    <w:tr2bl w:val="nil"/>
                  </w:tcBorders>
                  <w:shd w:val="clear" w:color="auto" w:fill="auto"/>
                  <w:vAlign w:val="center"/>
                </w:tcPr>
                <w:p>
                  <w:pPr>
                    <w:pStyle w:val="67"/>
                    <w:rPr>
                      <w:color w:val="auto"/>
                      <w:highlight w:val="none"/>
                    </w:rPr>
                  </w:pPr>
                  <w:r>
                    <w:rPr>
                      <w:rFonts w:hint="eastAsia"/>
                      <w:color w:val="auto"/>
                      <w:highlight w:val="none"/>
                    </w:rPr>
                    <w:t>万m³</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1.50</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color w:val="auto"/>
                      <w:highlight w:val="none"/>
                    </w:rPr>
                  </w:pPr>
                  <w:r>
                    <w:rPr>
                      <w:rFonts w:hint="eastAsia"/>
                      <w:color w:val="auto"/>
                      <w:highlight w:val="none"/>
                    </w:rPr>
                    <w:t>5</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M7.5浆砌石</w:t>
                  </w:r>
                </w:p>
              </w:tc>
              <w:tc>
                <w:tcPr>
                  <w:tcW w:w="742" w:type="dxa"/>
                  <w:tcBorders>
                    <w:tl2br w:val="nil"/>
                    <w:tr2bl w:val="nil"/>
                  </w:tcBorders>
                  <w:shd w:val="clear" w:color="auto" w:fill="auto"/>
                  <w:vAlign w:val="center"/>
                </w:tcPr>
                <w:p>
                  <w:pPr>
                    <w:pStyle w:val="67"/>
                    <w:rPr>
                      <w:color w:val="auto"/>
                      <w:highlight w:val="none"/>
                    </w:rPr>
                  </w:pPr>
                  <w:r>
                    <w:rPr>
                      <w:rFonts w:hint="eastAsia"/>
                      <w:color w:val="auto"/>
                      <w:highlight w:val="none"/>
                    </w:rPr>
                    <w:t>万m³</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0.40</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rFonts w:hint="eastAsia" w:eastAsia="宋体"/>
                      <w:color w:val="auto"/>
                      <w:highlight w:val="none"/>
                      <w:lang w:eastAsia="zh-CN"/>
                    </w:rPr>
                  </w:pPr>
                  <w:r>
                    <w:rPr>
                      <w:rFonts w:hint="eastAsia"/>
                      <w:color w:val="auto"/>
                      <w:highlight w:val="none"/>
                      <w:lang w:eastAsia="zh-CN"/>
                    </w:rPr>
                    <w:t>七</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施工总工期</w:t>
                  </w:r>
                </w:p>
              </w:tc>
              <w:tc>
                <w:tcPr>
                  <w:tcW w:w="742" w:type="dxa"/>
                  <w:tcBorders>
                    <w:tl2br w:val="nil"/>
                    <w:tr2bl w:val="nil"/>
                  </w:tcBorders>
                  <w:shd w:val="clear" w:color="auto" w:fill="auto"/>
                  <w:vAlign w:val="center"/>
                </w:tcPr>
                <w:p>
                  <w:pPr>
                    <w:pStyle w:val="67"/>
                    <w:rPr>
                      <w:color w:val="auto"/>
                      <w:highlight w:val="none"/>
                    </w:rPr>
                  </w:pPr>
                  <w:r>
                    <w:rPr>
                      <w:rFonts w:hint="eastAsia"/>
                      <w:color w:val="auto"/>
                      <w:highlight w:val="none"/>
                    </w:rPr>
                    <w:t>月</w:t>
                  </w:r>
                </w:p>
              </w:tc>
              <w:tc>
                <w:tcPr>
                  <w:tcW w:w="1542" w:type="dxa"/>
                  <w:tcBorders>
                    <w:tl2br w:val="nil"/>
                    <w:tr2bl w:val="nil"/>
                  </w:tcBorders>
                  <w:shd w:val="clear" w:color="auto" w:fill="auto"/>
                  <w:vAlign w:val="center"/>
                </w:tcPr>
                <w:p>
                  <w:pPr>
                    <w:pStyle w:val="67"/>
                    <w:rPr>
                      <w:color w:val="auto"/>
                      <w:highlight w:val="none"/>
                    </w:rPr>
                  </w:pPr>
                  <w:r>
                    <w:rPr>
                      <w:rFonts w:hint="eastAsia"/>
                      <w:color w:val="auto"/>
                      <w:highlight w:val="none"/>
                    </w:rPr>
                    <w:t>8</w:t>
                  </w:r>
                </w:p>
              </w:tc>
              <w:tc>
                <w:tcPr>
                  <w:tcW w:w="2072" w:type="dxa"/>
                  <w:tcBorders>
                    <w:tl2br w:val="nil"/>
                    <w:tr2bl w:val="nil"/>
                  </w:tcBorders>
                  <w:shd w:val="clear" w:color="auto" w:fill="auto"/>
                  <w:vAlign w:val="center"/>
                </w:tcPr>
                <w:p>
                  <w:pPr>
                    <w:pStyle w:val="6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41" w:type="dxa"/>
                  <w:tcBorders>
                    <w:tl2br w:val="nil"/>
                    <w:tr2bl w:val="nil"/>
                  </w:tcBorders>
                  <w:shd w:val="clear" w:color="auto" w:fill="auto"/>
                  <w:vAlign w:val="center"/>
                </w:tcPr>
                <w:p>
                  <w:pPr>
                    <w:pStyle w:val="67"/>
                    <w:rPr>
                      <w:rFonts w:hint="eastAsia" w:eastAsia="宋体"/>
                      <w:color w:val="auto"/>
                      <w:highlight w:val="none"/>
                      <w:lang w:eastAsia="zh-CN"/>
                    </w:rPr>
                  </w:pPr>
                  <w:r>
                    <w:rPr>
                      <w:rFonts w:hint="eastAsia"/>
                      <w:color w:val="auto"/>
                      <w:highlight w:val="none"/>
                      <w:lang w:eastAsia="zh-CN"/>
                    </w:rPr>
                    <w:t>八</w:t>
                  </w:r>
                </w:p>
              </w:tc>
              <w:tc>
                <w:tcPr>
                  <w:tcW w:w="3020" w:type="dxa"/>
                  <w:tcBorders>
                    <w:tl2br w:val="nil"/>
                    <w:tr2bl w:val="nil"/>
                  </w:tcBorders>
                  <w:shd w:val="clear" w:color="auto" w:fill="auto"/>
                  <w:vAlign w:val="center"/>
                </w:tcPr>
                <w:p>
                  <w:pPr>
                    <w:pStyle w:val="67"/>
                    <w:rPr>
                      <w:color w:val="auto"/>
                      <w:highlight w:val="none"/>
                    </w:rPr>
                  </w:pPr>
                  <w:r>
                    <w:rPr>
                      <w:rFonts w:hint="eastAsia"/>
                      <w:color w:val="auto"/>
                      <w:highlight w:val="none"/>
                    </w:rPr>
                    <w:t>工程总投资</w:t>
                  </w:r>
                </w:p>
              </w:tc>
              <w:tc>
                <w:tcPr>
                  <w:tcW w:w="742" w:type="dxa"/>
                  <w:tcBorders>
                    <w:tl2br w:val="nil"/>
                    <w:tr2bl w:val="nil"/>
                  </w:tcBorders>
                  <w:shd w:val="clear" w:color="auto" w:fill="auto"/>
                  <w:vAlign w:val="center"/>
                </w:tcPr>
                <w:p>
                  <w:pPr>
                    <w:pStyle w:val="67"/>
                    <w:rPr>
                      <w:color w:val="auto"/>
                      <w:highlight w:val="none"/>
                    </w:rPr>
                  </w:pPr>
                  <w:r>
                    <w:rPr>
                      <w:rFonts w:hint="eastAsia"/>
                      <w:color w:val="auto"/>
                      <w:highlight w:val="none"/>
                    </w:rPr>
                    <w:t>万元</w:t>
                  </w:r>
                </w:p>
              </w:tc>
              <w:tc>
                <w:tcPr>
                  <w:tcW w:w="1542" w:type="dxa"/>
                  <w:tcBorders>
                    <w:tl2br w:val="nil"/>
                    <w:tr2bl w:val="nil"/>
                  </w:tcBorders>
                  <w:shd w:val="clear" w:color="auto" w:fill="auto"/>
                  <w:vAlign w:val="center"/>
                </w:tcPr>
                <w:p>
                  <w:pPr>
                    <w:pStyle w:val="67"/>
                    <w:rPr>
                      <w:color w:val="auto"/>
                      <w:highlight w:val="none"/>
                    </w:rPr>
                  </w:pPr>
                  <w:r>
                    <w:rPr>
                      <w:color w:val="auto"/>
                      <w:highlight w:val="none"/>
                    </w:rPr>
                    <w:t>1785.68</w:t>
                  </w:r>
                </w:p>
              </w:tc>
              <w:tc>
                <w:tcPr>
                  <w:tcW w:w="2072" w:type="dxa"/>
                  <w:tcBorders>
                    <w:tl2br w:val="nil"/>
                    <w:tr2bl w:val="nil"/>
                  </w:tcBorders>
                  <w:shd w:val="clear" w:color="auto" w:fill="auto"/>
                  <w:vAlign w:val="center"/>
                </w:tcPr>
                <w:p>
                  <w:pPr>
                    <w:pStyle w:val="67"/>
                    <w:rPr>
                      <w:color w:val="auto"/>
                      <w:highlight w:val="none"/>
                    </w:rPr>
                  </w:pP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both"/>
              <w:textAlignment w:val="auto"/>
              <w:rPr>
                <w:rFonts w:hint="eastAsia"/>
                <w:b/>
                <w:bCs/>
                <w:color w:val="auto"/>
                <w:lang w:val="en-US" w:eastAsia="zh-CN"/>
              </w:rPr>
            </w:pPr>
            <w:r>
              <w:rPr>
                <w:rFonts w:hint="eastAsia"/>
                <w:b/>
                <w:bCs/>
                <w:color w:val="auto"/>
                <w:lang w:val="en-US" w:eastAsia="zh-CN"/>
              </w:rPr>
              <w:t>四、主要原辅材料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kern w:val="0"/>
                <w:szCs w:val="21"/>
                <w:lang w:val="en-US" w:eastAsia="zh-CN"/>
              </w:rPr>
            </w:pPr>
            <w:r>
              <w:rPr>
                <w:rFonts w:hint="eastAsia"/>
                <w:color w:val="auto"/>
                <w:kern w:val="0"/>
                <w:szCs w:val="21"/>
                <w:lang w:val="en-US" w:eastAsia="zh-CN"/>
              </w:rPr>
              <w:t>本项目运营期无能源及材料消耗，主要能源及材料消耗发生在施工期。本项目主要原辅材料消耗见下表</w:t>
            </w:r>
            <w:r>
              <w:rPr>
                <w:rFonts w:hint="default"/>
                <w:color w:val="auto"/>
                <w:kern w:val="0"/>
                <w:szCs w:val="21"/>
                <w:lang w:val="en-US" w:eastAsia="zh-CN"/>
              </w:rPr>
              <w:t>2-3</w:t>
            </w:r>
            <w:r>
              <w:rPr>
                <w:rFonts w:hint="eastAsia"/>
                <w:color w:val="auto"/>
                <w:kern w:val="0"/>
                <w:szCs w:val="21"/>
                <w:lang w:val="en-US" w:eastAsia="zh-CN"/>
              </w:rPr>
              <w:t>。</w:t>
            </w:r>
          </w:p>
          <w:p>
            <w:pPr>
              <w:keepNext w:val="0"/>
              <w:keepLines w:val="0"/>
              <w:widowControl/>
              <w:suppressLineNumbers w:val="0"/>
              <w:jc w:val="center"/>
              <w:rPr>
                <w:color w:val="auto"/>
              </w:rPr>
            </w:pPr>
            <w:r>
              <w:rPr>
                <w:rFonts w:ascii="黑体" w:hAnsi="宋体" w:eastAsia="黑体" w:cs="黑体"/>
                <w:color w:val="auto"/>
                <w:kern w:val="0"/>
                <w:sz w:val="21"/>
                <w:szCs w:val="21"/>
                <w:lang w:val="en-US" w:eastAsia="zh-CN" w:bidi="ar"/>
              </w:rPr>
              <w:t>表</w:t>
            </w:r>
            <w:r>
              <w:rPr>
                <w:rFonts w:hint="default" w:ascii="Times New Roman" w:hAnsi="Times New Roman" w:eastAsia="宋体" w:cs="Times New Roman"/>
                <w:color w:val="auto"/>
                <w:kern w:val="0"/>
                <w:sz w:val="21"/>
                <w:szCs w:val="21"/>
                <w:lang w:val="en-US" w:eastAsia="zh-CN" w:bidi="ar"/>
              </w:rPr>
              <w:t xml:space="preserve">2-3 </w:t>
            </w:r>
            <w:r>
              <w:rPr>
                <w:rFonts w:hint="eastAsia" w:ascii="黑体" w:hAnsi="宋体" w:eastAsia="黑体" w:cs="黑体"/>
                <w:color w:val="auto"/>
                <w:kern w:val="0"/>
                <w:sz w:val="21"/>
                <w:szCs w:val="21"/>
                <w:lang w:val="en-US" w:eastAsia="zh-CN" w:bidi="ar"/>
              </w:rPr>
              <w:t>施工期项目主要原辅材料一览表</w:t>
            </w:r>
          </w:p>
          <w:tbl>
            <w:tblPr>
              <w:tblStyle w:val="19"/>
              <w:tblW w:w="8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2340"/>
              <w:gridCol w:w="2472"/>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序号</w:t>
                  </w:r>
                </w:p>
              </w:tc>
              <w:tc>
                <w:tcPr>
                  <w:tcW w:w="2340"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名称</w:t>
                  </w:r>
                </w:p>
              </w:tc>
              <w:tc>
                <w:tcPr>
                  <w:tcW w:w="2472"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单位</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2340"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水泥</w:t>
                  </w:r>
                </w:p>
              </w:tc>
              <w:tc>
                <w:tcPr>
                  <w:tcW w:w="2472"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t</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3848.5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2340"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砂子</w:t>
                  </w:r>
                </w:p>
              </w:tc>
              <w:tc>
                <w:tcPr>
                  <w:tcW w:w="2472"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m</w:t>
                  </w:r>
                  <w:r>
                    <w:rPr>
                      <w:rFonts w:hint="eastAsia"/>
                      <w:color w:val="auto"/>
                      <w:sz w:val="21"/>
                      <w:szCs w:val="21"/>
                      <w:vertAlign w:val="superscript"/>
                      <w:lang w:val="en-US" w:eastAsia="zh-CN"/>
                    </w:rPr>
                    <w:t>3</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7761.3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2340"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片石</w:t>
                  </w:r>
                </w:p>
              </w:tc>
              <w:tc>
                <w:tcPr>
                  <w:tcW w:w="2472"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m</w:t>
                  </w:r>
                  <w:r>
                    <w:rPr>
                      <w:rFonts w:hint="eastAsia"/>
                      <w:color w:val="auto"/>
                      <w:sz w:val="21"/>
                      <w:szCs w:val="21"/>
                      <w:vertAlign w:val="superscript"/>
                      <w:lang w:val="en-US" w:eastAsia="zh-CN"/>
                    </w:rPr>
                    <w:t>3</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9691.7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2340"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钢筋</w:t>
                  </w:r>
                </w:p>
              </w:tc>
              <w:tc>
                <w:tcPr>
                  <w:tcW w:w="2472"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t</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7.96</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b/>
                <w:bCs/>
                <w:color w:val="auto"/>
                <w:lang w:val="en-US" w:eastAsia="zh-CN"/>
              </w:rPr>
            </w:pPr>
            <w:r>
              <w:rPr>
                <w:rFonts w:hint="eastAsia"/>
                <w:b/>
                <w:bCs/>
                <w:color w:val="auto"/>
                <w:lang w:val="en-US" w:eastAsia="zh-CN"/>
              </w:rPr>
              <w:t>五、施工期主要生产设备</w:t>
            </w:r>
          </w:p>
          <w:p>
            <w:pPr>
              <w:adjustRightInd w:val="0"/>
              <w:snapToGrid w:val="0"/>
              <w:spacing w:line="360" w:lineRule="auto"/>
              <w:ind w:firstLine="420" w:firstLineChars="200"/>
              <w:rPr>
                <w:rFonts w:hint="eastAsia"/>
                <w:color w:val="auto"/>
                <w:kern w:val="0"/>
                <w:szCs w:val="21"/>
                <w:lang w:val="en-US" w:eastAsia="zh-CN"/>
              </w:rPr>
            </w:pPr>
            <w:r>
              <w:rPr>
                <w:rFonts w:hint="eastAsia"/>
                <w:color w:val="auto"/>
                <w:kern w:val="0"/>
                <w:szCs w:val="21"/>
                <w:lang w:val="en-US" w:eastAsia="zh-CN"/>
              </w:rPr>
              <w:t>施工期主要生产设备见下表2-4。</w:t>
            </w:r>
          </w:p>
          <w:p>
            <w:pPr>
              <w:keepNext w:val="0"/>
              <w:keepLines w:val="0"/>
              <w:widowControl/>
              <w:suppressLineNumbers w:val="0"/>
              <w:jc w:val="center"/>
              <w:rPr>
                <w:color w:val="auto"/>
              </w:rPr>
            </w:pPr>
            <w:r>
              <w:rPr>
                <w:rFonts w:ascii="黑体" w:hAnsi="宋体" w:eastAsia="黑体" w:cs="黑体"/>
                <w:color w:val="auto"/>
                <w:kern w:val="0"/>
                <w:sz w:val="21"/>
                <w:szCs w:val="21"/>
                <w:lang w:val="en-US" w:eastAsia="zh-CN" w:bidi="ar"/>
              </w:rPr>
              <w:t>表</w:t>
            </w:r>
            <w:r>
              <w:rPr>
                <w:rFonts w:hint="default" w:ascii="Times New Roman" w:hAnsi="Times New Roman" w:eastAsia="宋体" w:cs="Times New Roman"/>
                <w:color w:val="auto"/>
                <w:kern w:val="0"/>
                <w:sz w:val="21"/>
                <w:szCs w:val="21"/>
                <w:lang w:val="en-US" w:eastAsia="zh-CN" w:bidi="ar"/>
              </w:rPr>
              <w:t xml:space="preserve">2-4 </w:t>
            </w:r>
            <w:r>
              <w:rPr>
                <w:rFonts w:hint="eastAsia" w:cs="Times New Roman"/>
                <w:color w:val="auto"/>
                <w:kern w:val="0"/>
                <w:sz w:val="21"/>
                <w:szCs w:val="21"/>
                <w:lang w:val="en-US" w:eastAsia="zh-CN" w:bidi="ar"/>
              </w:rPr>
              <w:t xml:space="preserve"> </w:t>
            </w:r>
            <w:r>
              <w:rPr>
                <w:rFonts w:hint="eastAsia" w:ascii="黑体" w:hAnsi="宋体" w:eastAsia="黑体" w:cs="黑体"/>
                <w:color w:val="auto"/>
                <w:kern w:val="0"/>
                <w:sz w:val="21"/>
                <w:szCs w:val="21"/>
                <w:lang w:val="en-US" w:eastAsia="zh-CN" w:bidi="ar"/>
              </w:rPr>
              <w:t>施工期主要生产设备一览表</w:t>
            </w:r>
          </w:p>
          <w:tbl>
            <w:tblPr>
              <w:tblStyle w:val="19"/>
              <w:tblW w:w="8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2754"/>
              <w:gridCol w:w="204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序号</w:t>
                  </w:r>
                </w:p>
              </w:tc>
              <w:tc>
                <w:tcPr>
                  <w:tcW w:w="2754"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名称</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单位</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2754"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挖掘机</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台</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8"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2754"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推土机</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台</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2754"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振动碾</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台</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2754"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混凝土搅拌机</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ascii="Times New Roman" w:hAnsi="Times New Roman" w:eastAsia="宋体" w:cs="Times New Roman"/>
                      <w:color w:val="auto"/>
                      <w:kern w:val="0"/>
                      <w:sz w:val="21"/>
                      <w:szCs w:val="21"/>
                      <w:vertAlign w:val="baseline"/>
                      <w:lang w:val="en-US" w:eastAsia="zh-CN" w:bidi="ar-SA"/>
                    </w:rPr>
                  </w:pPr>
                  <w:r>
                    <w:rPr>
                      <w:rFonts w:hint="eastAsia"/>
                      <w:color w:val="auto"/>
                      <w:sz w:val="21"/>
                      <w:szCs w:val="21"/>
                      <w:vertAlign w:val="baseline"/>
                      <w:lang w:val="en-US" w:eastAsia="zh-CN"/>
                    </w:rPr>
                    <w:t>台</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5</w:t>
                  </w:r>
                </w:p>
              </w:tc>
              <w:tc>
                <w:tcPr>
                  <w:tcW w:w="2754"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砂浆搅拌机</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ascii="Times New Roman" w:hAnsi="Times New Roman" w:eastAsia="宋体" w:cs="Times New Roman"/>
                      <w:color w:val="auto"/>
                      <w:kern w:val="0"/>
                      <w:sz w:val="21"/>
                      <w:szCs w:val="21"/>
                      <w:vertAlign w:val="baseline"/>
                      <w:lang w:val="en-US" w:eastAsia="zh-CN" w:bidi="ar-SA"/>
                    </w:rPr>
                  </w:pPr>
                  <w:r>
                    <w:rPr>
                      <w:rFonts w:hint="eastAsia"/>
                      <w:color w:val="auto"/>
                      <w:sz w:val="21"/>
                      <w:szCs w:val="21"/>
                      <w:vertAlign w:val="baseline"/>
                      <w:lang w:val="en-US" w:eastAsia="zh-CN"/>
                    </w:rPr>
                    <w:t>台</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6</w:t>
                  </w:r>
                </w:p>
              </w:tc>
              <w:tc>
                <w:tcPr>
                  <w:tcW w:w="2754"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自卸汽车</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ascii="Times New Roman" w:hAnsi="Times New Roman" w:eastAsia="宋体" w:cs="Times New Roman"/>
                      <w:color w:val="auto"/>
                      <w:kern w:val="0"/>
                      <w:sz w:val="21"/>
                      <w:szCs w:val="21"/>
                      <w:vertAlign w:val="baseline"/>
                      <w:lang w:val="en-US" w:eastAsia="zh-CN" w:bidi="ar-SA"/>
                    </w:rPr>
                  </w:pPr>
                  <w:r>
                    <w:rPr>
                      <w:rFonts w:hint="eastAsia"/>
                      <w:color w:val="auto"/>
                      <w:sz w:val="21"/>
                      <w:szCs w:val="21"/>
                      <w:vertAlign w:val="baseline"/>
                      <w:lang w:val="en-US" w:eastAsia="zh-CN"/>
                    </w:rPr>
                    <w:t>台</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7</w:t>
                  </w:r>
                </w:p>
              </w:tc>
              <w:tc>
                <w:tcPr>
                  <w:tcW w:w="2754"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翻斗车</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ascii="Times New Roman" w:hAnsi="Times New Roman" w:eastAsia="宋体" w:cs="Times New Roman"/>
                      <w:color w:val="auto"/>
                      <w:kern w:val="0"/>
                      <w:sz w:val="21"/>
                      <w:szCs w:val="21"/>
                      <w:vertAlign w:val="baseline"/>
                      <w:lang w:val="en-US" w:eastAsia="zh-CN" w:bidi="ar-SA"/>
                    </w:rPr>
                  </w:pPr>
                  <w:r>
                    <w:rPr>
                      <w:rFonts w:hint="eastAsia"/>
                      <w:color w:val="auto"/>
                      <w:sz w:val="21"/>
                      <w:szCs w:val="21"/>
                      <w:vertAlign w:val="baseline"/>
                      <w:lang w:val="en-US" w:eastAsia="zh-CN"/>
                    </w:rPr>
                    <w:t>台</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8</w:t>
                  </w:r>
                </w:p>
              </w:tc>
              <w:tc>
                <w:tcPr>
                  <w:tcW w:w="2754"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起重机</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ascii="Times New Roman" w:hAnsi="Times New Roman" w:eastAsia="宋体" w:cs="Times New Roman"/>
                      <w:color w:val="auto"/>
                      <w:kern w:val="0"/>
                      <w:sz w:val="21"/>
                      <w:szCs w:val="21"/>
                      <w:vertAlign w:val="baseline"/>
                      <w:lang w:val="en-US" w:eastAsia="zh-CN" w:bidi="ar-SA"/>
                    </w:rPr>
                  </w:pPr>
                  <w:r>
                    <w:rPr>
                      <w:rFonts w:hint="eastAsia"/>
                      <w:color w:val="auto"/>
                      <w:sz w:val="21"/>
                      <w:szCs w:val="21"/>
                      <w:vertAlign w:val="baseline"/>
                      <w:lang w:val="en-US" w:eastAsia="zh-CN"/>
                    </w:rPr>
                    <w:t>台</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9</w:t>
                  </w:r>
                </w:p>
              </w:tc>
              <w:tc>
                <w:tcPr>
                  <w:tcW w:w="2754" w:type="dxa"/>
                  <w:vAlign w:val="center"/>
                </w:tcPr>
                <w:p>
                  <w:pPr>
                    <w:keepNext w:val="0"/>
                    <w:keepLines w:val="0"/>
                    <w:widowControl/>
                    <w:suppressLineNumbers w:val="0"/>
                    <w:jc w:val="center"/>
                    <w:rPr>
                      <w:rFonts w:hint="eastAsia" w:cs="Times New Roman"/>
                      <w:color w:val="auto"/>
                      <w:kern w:val="0"/>
                      <w:sz w:val="21"/>
                      <w:szCs w:val="21"/>
                      <w:vertAlign w:val="baseline"/>
                      <w:lang w:val="en-US" w:eastAsia="zh-CN" w:bidi="ar-SA"/>
                    </w:rPr>
                  </w:pPr>
                  <w:r>
                    <w:rPr>
                      <w:rFonts w:hint="eastAsia" w:ascii="宋体" w:hAnsi="宋体" w:eastAsia="宋体" w:cs="宋体"/>
                      <w:color w:val="auto"/>
                      <w:kern w:val="0"/>
                      <w:sz w:val="21"/>
                      <w:szCs w:val="21"/>
                      <w:lang w:val="en-US" w:eastAsia="zh-CN" w:bidi="ar"/>
                    </w:rPr>
                    <w:t>电焊机</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ascii="Times New Roman" w:hAnsi="Times New Roman" w:eastAsia="宋体" w:cs="Times New Roman"/>
                      <w:color w:val="auto"/>
                      <w:kern w:val="0"/>
                      <w:sz w:val="21"/>
                      <w:szCs w:val="21"/>
                      <w:vertAlign w:val="baseline"/>
                      <w:lang w:val="en-US" w:eastAsia="zh-CN" w:bidi="ar-SA"/>
                    </w:rPr>
                  </w:pPr>
                  <w:r>
                    <w:rPr>
                      <w:rFonts w:hint="eastAsia"/>
                      <w:color w:val="auto"/>
                      <w:sz w:val="21"/>
                      <w:szCs w:val="21"/>
                      <w:vertAlign w:val="baseline"/>
                      <w:lang w:val="en-US" w:eastAsia="zh-CN"/>
                    </w:rPr>
                    <w:t>台</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10</w:t>
                  </w:r>
                </w:p>
              </w:tc>
              <w:tc>
                <w:tcPr>
                  <w:tcW w:w="2754"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钢筋弯曲机</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ascii="Times New Roman" w:hAnsi="Times New Roman" w:eastAsia="宋体" w:cs="Times New Roman"/>
                      <w:color w:val="auto"/>
                      <w:kern w:val="0"/>
                      <w:sz w:val="21"/>
                      <w:szCs w:val="21"/>
                      <w:vertAlign w:val="baseline"/>
                      <w:lang w:val="en-US" w:eastAsia="zh-CN" w:bidi="ar-SA"/>
                    </w:rPr>
                  </w:pPr>
                  <w:r>
                    <w:rPr>
                      <w:rFonts w:hint="eastAsia"/>
                      <w:color w:val="auto"/>
                      <w:sz w:val="21"/>
                      <w:szCs w:val="21"/>
                      <w:vertAlign w:val="baseline"/>
                      <w:lang w:val="en-US" w:eastAsia="zh-CN"/>
                    </w:rPr>
                    <w:t>台</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11</w:t>
                  </w:r>
                </w:p>
              </w:tc>
              <w:tc>
                <w:tcPr>
                  <w:tcW w:w="2754"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钢筋切割机</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ascii="Times New Roman" w:hAnsi="Times New Roman" w:eastAsia="宋体" w:cs="Times New Roman"/>
                      <w:color w:val="auto"/>
                      <w:kern w:val="0"/>
                      <w:sz w:val="21"/>
                      <w:szCs w:val="21"/>
                      <w:vertAlign w:val="baseline"/>
                      <w:lang w:val="en-US" w:eastAsia="zh-CN" w:bidi="ar-SA"/>
                    </w:rPr>
                  </w:pPr>
                  <w:r>
                    <w:rPr>
                      <w:rFonts w:hint="eastAsia"/>
                      <w:color w:val="auto"/>
                      <w:sz w:val="21"/>
                      <w:szCs w:val="21"/>
                      <w:vertAlign w:val="baseline"/>
                      <w:lang w:val="en-US" w:eastAsia="zh-CN"/>
                    </w:rPr>
                    <w:t>台</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12</w:t>
                  </w:r>
                </w:p>
              </w:tc>
              <w:tc>
                <w:tcPr>
                  <w:tcW w:w="2754"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钢筋调直机</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ascii="Times New Roman" w:hAnsi="Times New Roman" w:eastAsia="宋体" w:cs="Times New Roman"/>
                      <w:color w:val="auto"/>
                      <w:kern w:val="0"/>
                      <w:sz w:val="21"/>
                      <w:szCs w:val="21"/>
                      <w:vertAlign w:val="baseline"/>
                      <w:lang w:val="en-US" w:eastAsia="zh-CN" w:bidi="ar-SA"/>
                    </w:rPr>
                  </w:pPr>
                  <w:r>
                    <w:rPr>
                      <w:rFonts w:hint="eastAsia"/>
                      <w:color w:val="auto"/>
                      <w:sz w:val="21"/>
                      <w:szCs w:val="21"/>
                      <w:vertAlign w:val="baseline"/>
                      <w:lang w:val="en-US" w:eastAsia="zh-CN"/>
                    </w:rPr>
                    <w:t>台</w:t>
                  </w:r>
                </w:p>
              </w:tc>
              <w:tc>
                <w:tcPr>
                  <w:tcW w:w="204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1</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b/>
                <w:bCs/>
                <w:color w:val="auto"/>
                <w:lang w:val="en-US" w:eastAsia="zh-CN"/>
              </w:rPr>
            </w:pPr>
            <w:r>
              <w:rPr>
                <w:rFonts w:hint="eastAsia"/>
                <w:b/>
                <w:bCs/>
                <w:color w:val="auto"/>
                <w:lang w:val="en-US" w:eastAsia="zh-CN"/>
              </w:rPr>
              <w:t>六、土石方平衡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sz w:val="21"/>
                <w:szCs w:val="21"/>
                <w:highlight w:val="none"/>
              </w:rPr>
              <w:t>本次设计共清基</w:t>
            </w:r>
            <w:r>
              <w:rPr>
                <w:rFonts w:hint="eastAsia" w:cs="Arial"/>
                <w:color w:val="auto"/>
                <w:sz w:val="21"/>
                <w:szCs w:val="21"/>
                <w:highlight w:val="none"/>
              </w:rPr>
              <w:t>6989</w:t>
            </w:r>
            <w:r>
              <w:rPr>
                <w:rFonts w:hint="eastAsia"/>
                <w:color w:val="auto"/>
                <w:sz w:val="21"/>
                <w:szCs w:val="21"/>
                <w:highlight w:val="none"/>
              </w:rPr>
              <w:t>m</w:t>
            </w:r>
            <w:r>
              <w:rPr>
                <w:rFonts w:hint="eastAsia"/>
                <w:color w:val="auto"/>
                <w:sz w:val="21"/>
                <w:szCs w:val="21"/>
                <w:highlight w:val="none"/>
                <w:vertAlign w:val="superscript"/>
              </w:rPr>
              <w:t>3</w:t>
            </w:r>
            <w:r>
              <w:rPr>
                <w:rFonts w:hint="eastAsia"/>
                <w:color w:val="auto"/>
                <w:sz w:val="21"/>
                <w:szCs w:val="21"/>
                <w:highlight w:val="none"/>
                <w:lang w:eastAsia="zh-CN"/>
              </w:rPr>
              <w:t>，</w:t>
            </w:r>
            <w:r>
              <w:rPr>
                <w:rFonts w:hint="eastAsia"/>
                <w:color w:val="auto"/>
                <w:sz w:val="21"/>
                <w:szCs w:val="21"/>
                <w:highlight w:val="none"/>
              </w:rPr>
              <w:t>开挖土石方</w:t>
            </w:r>
            <w:r>
              <w:rPr>
                <w:rFonts w:hint="eastAsia" w:cs="Arial"/>
                <w:color w:val="auto"/>
                <w:sz w:val="21"/>
                <w:szCs w:val="21"/>
                <w:highlight w:val="none"/>
              </w:rPr>
              <w:t>6280</w:t>
            </w:r>
            <w:r>
              <w:rPr>
                <w:rFonts w:hint="eastAsia" w:cs="Arial"/>
                <w:color w:val="auto"/>
                <w:sz w:val="21"/>
                <w:szCs w:val="21"/>
                <w:highlight w:val="none"/>
                <w:lang w:val="en-US" w:eastAsia="zh-CN"/>
              </w:rPr>
              <w:t>8</w:t>
            </w:r>
            <w:r>
              <w:rPr>
                <w:rFonts w:hint="eastAsia"/>
                <w:color w:val="auto"/>
                <w:sz w:val="21"/>
                <w:szCs w:val="21"/>
                <w:highlight w:val="none"/>
              </w:rPr>
              <w:t>m</w:t>
            </w:r>
            <w:r>
              <w:rPr>
                <w:rFonts w:hint="eastAsia"/>
                <w:color w:val="auto"/>
                <w:sz w:val="21"/>
                <w:szCs w:val="21"/>
                <w:highlight w:val="none"/>
                <w:vertAlign w:val="superscript"/>
              </w:rPr>
              <w:t>3</w:t>
            </w:r>
            <w:r>
              <w:rPr>
                <w:rFonts w:hint="eastAsia"/>
                <w:color w:val="auto"/>
                <w:sz w:val="21"/>
                <w:szCs w:val="21"/>
                <w:highlight w:val="none"/>
                <w:lang w:eastAsia="zh-CN"/>
              </w:rPr>
              <w:t>；</w:t>
            </w:r>
            <w:r>
              <w:rPr>
                <w:rFonts w:hint="eastAsia"/>
                <w:color w:val="auto"/>
                <w:sz w:val="21"/>
                <w:szCs w:val="21"/>
                <w:highlight w:val="none"/>
              </w:rPr>
              <w:t>用于堤背回填、基槽回填等的利用土为</w:t>
            </w:r>
            <w:r>
              <w:rPr>
                <w:rFonts w:hint="default" w:ascii="Times New Roman" w:hAnsi="Times New Roman" w:eastAsia="宋体" w:cs="Times New Roman"/>
                <w:i w:val="0"/>
                <w:iCs w:val="0"/>
                <w:color w:val="auto"/>
                <w:kern w:val="0"/>
                <w:sz w:val="21"/>
                <w:szCs w:val="21"/>
                <w:u w:val="none"/>
                <w:lang w:val="en-US" w:eastAsia="zh-CN" w:bidi="ar"/>
              </w:rPr>
              <w:t>47671</w:t>
            </w:r>
            <w:r>
              <w:rPr>
                <w:rFonts w:hint="eastAsia"/>
                <w:color w:val="auto"/>
                <w:sz w:val="21"/>
                <w:szCs w:val="21"/>
                <w:highlight w:val="none"/>
              </w:rPr>
              <w:t>m</w:t>
            </w:r>
            <w:r>
              <w:rPr>
                <w:rFonts w:hint="eastAsia"/>
                <w:color w:val="auto"/>
                <w:sz w:val="21"/>
                <w:szCs w:val="21"/>
                <w:highlight w:val="none"/>
                <w:vertAlign w:val="superscript"/>
              </w:rPr>
              <w:t>3</w:t>
            </w:r>
            <w:r>
              <w:rPr>
                <w:rFonts w:hint="eastAsia"/>
                <w:color w:val="auto"/>
                <w:sz w:val="21"/>
                <w:szCs w:val="21"/>
                <w:highlight w:val="none"/>
              </w:rPr>
              <w:t>；弃方量为</w:t>
            </w:r>
            <w:r>
              <w:rPr>
                <w:rFonts w:hint="default" w:ascii="Times New Roman" w:hAnsi="Times New Roman" w:eastAsia="宋体" w:cs="Times New Roman"/>
                <w:i w:val="0"/>
                <w:iCs w:val="0"/>
                <w:color w:val="auto"/>
                <w:kern w:val="0"/>
                <w:sz w:val="21"/>
                <w:szCs w:val="21"/>
                <w:u w:val="none"/>
                <w:lang w:val="en-US" w:eastAsia="zh-CN" w:bidi="ar"/>
              </w:rPr>
              <w:t>22126</w:t>
            </w:r>
            <w:r>
              <w:rPr>
                <w:rFonts w:hint="eastAsia"/>
                <w:color w:val="auto"/>
                <w:sz w:val="21"/>
                <w:szCs w:val="21"/>
                <w:highlight w:val="none"/>
              </w:rPr>
              <w:t>m</w:t>
            </w:r>
            <w:r>
              <w:rPr>
                <w:rFonts w:hint="eastAsia"/>
                <w:color w:val="auto"/>
                <w:sz w:val="21"/>
                <w:szCs w:val="21"/>
                <w:highlight w:val="none"/>
                <w:vertAlign w:val="superscript"/>
              </w:rPr>
              <w:t>3</w:t>
            </w:r>
            <w:r>
              <w:rPr>
                <w:rFonts w:hint="eastAsia"/>
                <w:color w:val="auto"/>
                <w:sz w:val="21"/>
                <w:szCs w:val="21"/>
                <w:highlight w:val="none"/>
              </w:rPr>
              <w:t>。</w:t>
            </w:r>
            <w:r>
              <w:rPr>
                <w:color w:val="auto"/>
                <w:sz w:val="21"/>
                <w:szCs w:val="21"/>
                <w:highlight w:val="none"/>
              </w:rPr>
              <w:t>具体各段工程区的土石方平衡分析见表</w:t>
            </w:r>
            <w:r>
              <w:rPr>
                <w:rFonts w:hint="eastAsia"/>
                <w:color w:val="auto"/>
                <w:sz w:val="21"/>
                <w:szCs w:val="21"/>
                <w:highlight w:val="none"/>
                <w:lang w:val="en-US" w:eastAsia="zh-CN"/>
              </w:rPr>
              <w:t>2-5</w:t>
            </w:r>
            <w:r>
              <w:rPr>
                <w:color w:val="auto"/>
                <w:sz w:val="21"/>
                <w:szCs w:val="21"/>
                <w:highlight w:val="none"/>
              </w:rPr>
              <w:t>。</w:t>
            </w:r>
          </w:p>
          <w:p>
            <w:pPr>
              <w:pStyle w:val="57"/>
              <w:ind w:firstLine="482"/>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表</w:t>
            </w:r>
            <w:r>
              <w:rPr>
                <w:rFonts w:hint="default" w:ascii="Times New Roman" w:hAnsi="Times New Roman" w:cs="Times New Roman"/>
                <w:color w:val="auto"/>
                <w:sz w:val="21"/>
                <w:szCs w:val="21"/>
                <w:highlight w:val="none"/>
                <w:lang w:val="en-US" w:eastAsia="zh-CN"/>
              </w:rPr>
              <w:t>2-5</w:t>
            </w:r>
            <w:r>
              <w:rPr>
                <w:rFonts w:hint="default" w:ascii="Times New Roman" w:hAnsi="Times New Roman" w:cs="Times New Roman"/>
                <w:color w:val="auto"/>
                <w:sz w:val="21"/>
                <w:szCs w:val="21"/>
                <w:highlight w:val="none"/>
              </w:rPr>
              <w:t xml:space="preserve">    土石方平衡分析计算表         单位：万m³</w:t>
            </w:r>
          </w:p>
          <w:tbl>
            <w:tblPr>
              <w:tblStyle w:val="19"/>
              <w:tblW w:w="16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6"/>
              <w:gridCol w:w="1267"/>
              <w:gridCol w:w="975"/>
              <w:gridCol w:w="1125"/>
              <w:gridCol w:w="1054"/>
              <w:gridCol w:w="931"/>
              <w:gridCol w:w="2781"/>
              <w:gridCol w:w="1200"/>
              <w:gridCol w:w="1140"/>
              <w:gridCol w:w="1050"/>
              <w:gridCol w:w="1020"/>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6" w:type="dxa"/>
                  <w:vMerge w:val="restart"/>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工程区</w:t>
                  </w:r>
                </w:p>
              </w:tc>
              <w:tc>
                <w:tcPr>
                  <w:tcW w:w="1267" w:type="dxa"/>
                  <w:vMerge w:val="restart"/>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清基</w:t>
                  </w:r>
                </w:p>
              </w:tc>
              <w:tc>
                <w:tcPr>
                  <w:tcW w:w="975" w:type="dxa"/>
                  <w:vMerge w:val="restart"/>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开挖</w:t>
                  </w:r>
                </w:p>
              </w:tc>
              <w:tc>
                <w:tcPr>
                  <w:tcW w:w="1125" w:type="dxa"/>
                  <w:vMerge w:val="restart"/>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回填方</w:t>
                  </w:r>
                </w:p>
              </w:tc>
              <w:tc>
                <w:tcPr>
                  <w:tcW w:w="1054" w:type="dxa"/>
                  <w:vMerge w:val="restart"/>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弃方</w:t>
                  </w:r>
                </w:p>
              </w:tc>
              <w:tc>
                <w:tcPr>
                  <w:tcW w:w="931" w:type="dxa"/>
                  <w:vMerge w:val="restart"/>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借方</w:t>
                  </w:r>
                </w:p>
              </w:tc>
              <w:tc>
                <w:tcPr>
                  <w:tcW w:w="2781" w:type="dxa"/>
                </w:tcPr>
                <w:p>
                  <w:pPr>
                    <w:pStyle w:val="14"/>
                    <w:rPr>
                      <w:color w:val="auto"/>
                      <w:vertAlign w:val="baseline"/>
                    </w:rPr>
                  </w:pPr>
                </w:p>
              </w:tc>
              <w:tc>
                <w:tcPr>
                  <w:tcW w:w="1200" w:type="dxa"/>
                </w:tcPr>
                <w:p>
                  <w:pPr>
                    <w:pStyle w:val="14"/>
                    <w:rPr>
                      <w:color w:val="auto"/>
                      <w:vertAlign w:val="baseline"/>
                    </w:rPr>
                  </w:pPr>
                </w:p>
              </w:tc>
              <w:tc>
                <w:tcPr>
                  <w:tcW w:w="1140" w:type="dxa"/>
                </w:tcPr>
                <w:p>
                  <w:pPr>
                    <w:pStyle w:val="14"/>
                    <w:rPr>
                      <w:color w:val="auto"/>
                      <w:vertAlign w:val="baseline"/>
                    </w:rPr>
                  </w:pPr>
                </w:p>
              </w:tc>
              <w:tc>
                <w:tcPr>
                  <w:tcW w:w="1050" w:type="dxa"/>
                </w:tcPr>
                <w:p>
                  <w:pPr>
                    <w:pStyle w:val="14"/>
                    <w:rPr>
                      <w:color w:val="auto"/>
                      <w:vertAlign w:val="baseline"/>
                    </w:rPr>
                  </w:pPr>
                </w:p>
              </w:tc>
              <w:tc>
                <w:tcPr>
                  <w:tcW w:w="1020" w:type="dxa"/>
                </w:tcPr>
                <w:p>
                  <w:pPr>
                    <w:pStyle w:val="14"/>
                    <w:rPr>
                      <w:color w:val="auto"/>
                      <w:vertAlign w:val="baseline"/>
                    </w:rPr>
                  </w:pPr>
                </w:p>
              </w:tc>
              <w:tc>
                <w:tcPr>
                  <w:tcW w:w="973" w:type="dxa"/>
                </w:tcPr>
                <w:p>
                  <w:pPr>
                    <w:pStyle w:val="14"/>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6" w:type="dxa"/>
                  <w:vMerge w:val="continue"/>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267" w:type="dxa"/>
                  <w:vMerge w:val="continue"/>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975" w:type="dxa"/>
                  <w:vMerge w:val="continue"/>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125" w:type="dxa"/>
                  <w:vMerge w:val="continue"/>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54" w:type="dxa"/>
                  <w:vMerge w:val="continue"/>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931" w:type="dxa"/>
                  <w:vMerge w:val="continue"/>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2781" w:type="dxa"/>
                </w:tcPr>
                <w:p>
                  <w:pPr>
                    <w:pStyle w:val="14"/>
                    <w:rPr>
                      <w:color w:val="auto"/>
                      <w:vertAlign w:val="baseline"/>
                    </w:rPr>
                  </w:pPr>
                </w:p>
              </w:tc>
              <w:tc>
                <w:tcPr>
                  <w:tcW w:w="1200" w:type="dxa"/>
                </w:tcPr>
                <w:p>
                  <w:pPr>
                    <w:pStyle w:val="14"/>
                    <w:rPr>
                      <w:color w:val="auto"/>
                      <w:vertAlign w:val="baseline"/>
                    </w:rPr>
                  </w:pPr>
                </w:p>
              </w:tc>
              <w:tc>
                <w:tcPr>
                  <w:tcW w:w="1140" w:type="dxa"/>
                </w:tcPr>
                <w:p>
                  <w:pPr>
                    <w:pStyle w:val="14"/>
                    <w:rPr>
                      <w:color w:val="auto"/>
                      <w:vertAlign w:val="baseline"/>
                    </w:rPr>
                  </w:pPr>
                </w:p>
              </w:tc>
              <w:tc>
                <w:tcPr>
                  <w:tcW w:w="1050" w:type="dxa"/>
                </w:tcPr>
                <w:p>
                  <w:pPr>
                    <w:pStyle w:val="14"/>
                    <w:rPr>
                      <w:color w:val="auto"/>
                      <w:vertAlign w:val="baseline"/>
                    </w:rPr>
                  </w:pPr>
                </w:p>
              </w:tc>
              <w:tc>
                <w:tcPr>
                  <w:tcW w:w="1020" w:type="dxa"/>
                </w:tcPr>
                <w:p>
                  <w:pPr>
                    <w:pStyle w:val="14"/>
                    <w:rPr>
                      <w:color w:val="auto"/>
                      <w:vertAlign w:val="baseline"/>
                    </w:rPr>
                  </w:pPr>
                </w:p>
              </w:tc>
              <w:tc>
                <w:tcPr>
                  <w:tcW w:w="973" w:type="dxa"/>
                </w:tcPr>
                <w:p>
                  <w:pPr>
                    <w:pStyle w:val="14"/>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6" w:type="dxa"/>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岚河九台村段</w:t>
                  </w:r>
                </w:p>
              </w:tc>
              <w:tc>
                <w:tcPr>
                  <w:tcW w:w="126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3616</w:t>
                  </w:r>
                </w:p>
              </w:tc>
              <w:tc>
                <w:tcPr>
                  <w:tcW w:w="97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25246</w:t>
                  </w:r>
                </w:p>
              </w:tc>
              <w:tc>
                <w:tcPr>
                  <w:tcW w:w="112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15042</w:t>
                  </w:r>
                </w:p>
              </w:tc>
              <w:tc>
                <w:tcPr>
                  <w:tcW w:w="1054"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13820</w:t>
                  </w:r>
                </w:p>
              </w:tc>
              <w:tc>
                <w:tcPr>
                  <w:tcW w:w="931" w:type="dxa"/>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0.00</w:t>
                  </w:r>
                </w:p>
              </w:tc>
              <w:tc>
                <w:tcPr>
                  <w:tcW w:w="2781" w:type="dxa"/>
                </w:tcPr>
                <w:p>
                  <w:pPr>
                    <w:pStyle w:val="14"/>
                    <w:rPr>
                      <w:color w:val="auto"/>
                      <w:vertAlign w:val="baseline"/>
                    </w:rPr>
                  </w:pPr>
                </w:p>
              </w:tc>
              <w:tc>
                <w:tcPr>
                  <w:tcW w:w="1200" w:type="dxa"/>
                </w:tcPr>
                <w:p>
                  <w:pPr>
                    <w:pStyle w:val="14"/>
                    <w:rPr>
                      <w:color w:val="auto"/>
                      <w:vertAlign w:val="baseline"/>
                    </w:rPr>
                  </w:pPr>
                </w:p>
              </w:tc>
              <w:tc>
                <w:tcPr>
                  <w:tcW w:w="1140" w:type="dxa"/>
                </w:tcPr>
                <w:p>
                  <w:pPr>
                    <w:pStyle w:val="14"/>
                    <w:rPr>
                      <w:color w:val="auto"/>
                      <w:vertAlign w:val="baseline"/>
                    </w:rPr>
                  </w:pPr>
                </w:p>
              </w:tc>
              <w:tc>
                <w:tcPr>
                  <w:tcW w:w="1050" w:type="dxa"/>
                </w:tcPr>
                <w:p>
                  <w:pPr>
                    <w:pStyle w:val="14"/>
                    <w:rPr>
                      <w:color w:val="auto"/>
                      <w:vertAlign w:val="baseline"/>
                    </w:rPr>
                  </w:pPr>
                </w:p>
              </w:tc>
              <w:tc>
                <w:tcPr>
                  <w:tcW w:w="1020" w:type="dxa"/>
                </w:tcPr>
                <w:p>
                  <w:pPr>
                    <w:pStyle w:val="14"/>
                    <w:rPr>
                      <w:color w:val="auto"/>
                      <w:vertAlign w:val="baseline"/>
                    </w:rPr>
                  </w:pPr>
                </w:p>
              </w:tc>
              <w:tc>
                <w:tcPr>
                  <w:tcW w:w="973" w:type="dxa"/>
                </w:tcPr>
                <w:p>
                  <w:pPr>
                    <w:pStyle w:val="14"/>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6" w:type="dxa"/>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武学村二组瓦西沟口右岸段</w:t>
                  </w:r>
                </w:p>
              </w:tc>
              <w:tc>
                <w:tcPr>
                  <w:tcW w:w="126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119</w:t>
                  </w:r>
                </w:p>
              </w:tc>
              <w:tc>
                <w:tcPr>
                  <w:tcW w:w="97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1573</w:t>
                  </w:r>
                </w:p>
              </w:tc>
              <w:tc>
                <w:tcPr>
                  <w:tcW w:w="112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1482</w:t>
                  </w:r>
                </w:p>
              </w:tc>
              <w:tc>
                <w:tcPr>
                  <w:tcW w:w="1054"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209</w:t>
                  </w:r>
                </w:p>
              </w:tc>
              <w:tc>
                <w:tcPr>
                  <w:tcW w:w="931" w:type="dxa"/>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0.00</w:t>
                  </w:r>
                </w:p>
              </w:tc>
              <w:tc>
                <w:tcPr>
                  <w:tcW w:w="2781" w:type="dxa"/>
                </w:tcPr>
                <w:p>
                  <w:pPr>
                    <w:pStyle w:val="14"/>
                    <w:rPr>
                      <w:color w:val="auto"/>
                      <w:vertAlign w:val="baseline"/>
                    </w:rPr>
                  </w:pPr>
                </w:p>
              </w:tc>
              <w:tc>
                <w:tcPr>
                  <w:tcW w:w="1200" w:type="dxa"/>
                </w:tcPr>
                <w:p>
                  <w:pPr>
                    <w:pStyle w:val="14"/>
                    <w:rPr>
                      <w:color w:val="auto"/>
                      <w:vertAlign w:val="baseline"/>
                    </w:rPr>
                  </w:pPr>
                </w:p>
              </w:tc>
              <w:tc>
                <w:tcPr>
                  <w:tcW w:w="1140" w:type="dxa"/>
                </w:tcPr>
                <w:p>
                  <w:pPr>
                    <w:pStyle w:val="14"/>
                    <w:rPr>
                      <w:color w:val="auto"/>
                      <w:vertAlign w:val="baseline"/>
                    </w:rPr>
                  </w:pPr>
                </w:p>
              </w:tc>
              <w:tc>
                <w:tcPr>
                  <w:tcW w:w="1050" w:type="dxa"/>
                </w:tcPr>
                <w:p>
                  <w:pPr>
                    <w:pStyle w:val="14"/>
                    <w:rPr>
                      <w:color w:val="auto"/>
                      <w:vertAlign w:val="baseline"/>
                    </w:rPr>
                  </w:pPr>
                </w:p>
              </w:tc>
              <w:tc>
                <w:tcPr>
                  <w:tcW w:w="1020" w:type="dxa"/>
                </w:tcPr>
                <w:p>
                  <w:pPr>
                    <w:pStyle w:val="14"/>
                    <w:rPr>
                      <w:color w:val="auto"/>
                      <w:vertAlign w:val="baseline"/>
                    </w:rPr>
                  </w:pPr>
                </w:p>
              </w:tc>
              <w:tc>
                <w:tcPr>
                  <w:tcW w:w="973" w:type="dxa"/>
                </w:tcPr>
                <w:p>
                  <w:pPr>
                    <w:pStyle w:val="14"/>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6" w:type="dxa"/>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柏杨林村三组石滚坝右岸段</w:t>
                  </w:r>
                </w:p>
              </w:tc>
              <w:tc>
                <w:tcPr>
                  <w:tcW w:w="126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392</w:t>
                  </w:r>
                </w:p>
              </w:tc>
              <w:tc>
                <w:tcPr>
                  <w:tcW w:w="97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3796</w:t>
                  </w:r>
                </w:p>
              </w:tc>
              <w:tc>
                <w:tcPr>
                  <w:tcW w:w="112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3820</w:t>
                  </w:r>
                </w:p>
              </w:tc>
              <w:tc>
                <w:tcPr>
                  <w:tcW w:w="1054"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368</w:t>
                  </w:r>
                </w:p>
              </w:tc>
              <w:tc>
                <w:tcPr>
                  <w:tcW w:w="931" w:type="dxa"/>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0.00</w:t>
                  </w:r>
                </w:p>
              </w:tc>
              <w:tc>
                <w:tcPr>
                  <w:tcW w:w="2781" w:type="dxa"/>
                </w:tcPr>
                <w:p>
                  <w:pPr>
                    <w:pStyle w:val="14"/>
                    <w:rPr>
                      <w:color w:val="auto"/>
                      <w:vertAlign w:val="baseline"/>
                    </w:rPr>
                  </w:pPr>
                </w:p>
              </w:tc>
              <w:tc>
                <w:tcPr>
                  <w:tcW w:w="1200" w:type="dxa"/>
                </w:tcPr>
                <w:p>
                  <w:pPr>
                    <w:pStyle w:val="14"/>
                    <w:rPr>
                      <w:color w:val="auto"/>
                      <w:vertAlign w:val="baseline"/>
                    </w:rPr>
                  </w:pPr>
                </w:p>
              </w:tc>
              <w:tc>
                <w:tcPr>
                  <w:tcW w:w="1140" w:type="dxa"/>
                </w:tcPr>
                <w:p>
                  <w:pPr>
                    <w:pStyle w:val="14"/>
                    <w:rPr>
                      <w:color w:val="auto"/>
                      <w:vertAlign w:val="baseline"/>
                    </w:rPr>
                  </w:pPr>
                </w:p>
              </w:tc>
              <w:tc>
                <w:tcPr>
                  <w:tcW w:w="1050" w:type="dxa"/>
                </w:tcPr>
                <w:p>
                  <w:pPr>
                    <w:pStyle w:val="14"/>
                    <w:rPr>
                      <w:color w:val="auto"/>
                      <w:vertAlign w:val="baseline"/>
                    </w:rPr>
                  </w:pPr>
                </w:p>
              </w:tc>
              <w:tc>
                <w:tcPr>
                  <w:tcW w:w="1020" w:type="dxa"/>
                </w:tcPr>
                <w:p>
                  <w:pPr>
                    <w:pStyle w:val="14"/>
                    <w:rPr>
                      <w:color w:val="auto"/>
                      <w:vertAlign w:val="baseline"/>
                    </w:rPr>
                  </w:pPr>
                </w:p>
              </w:tc>
              <w:tc>
                <w:tcPr>
                  <w:tcW w:w="973" w:type="dxa"/>
                </w:tcPr>
                <w:p>
                  <w:pPr>
                    <w:pStyle w:val="14"/>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6" w:type="dxa"/>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桃园村二组四方地河坝左岸段</w:t>
                  </w:r>
                </w:p>
              </w:tc>
              <w:tc>
                <w:tcPr>
                  <w:tcW w:w="126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626</w:t>
                  </w:r>
                </w:p>
              </w:tc>
              <w:tc>
                <w:tcPr>
                  <w:tcW w:w="97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7275</w:t>
                  </w:r>
                </w:p>
              </w:tc>
              <w:tc>
                <w:tcPr>
                  <w:tcW w:w="112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8696</w:t>
                  </w:r>
                </w:p>
              </w:tc>
              <w:tc>
                <w:tcPr>
                  <w:tcW w:w="1054"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-795</w:t>
                  </w:r>
                </w:p>
              </w:tc>
              <w:tc>
                <w:tcPr>
                  <w:tcW w:w="931" w:type="dxa"/>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0.00</w:t>
                  </w:r>
                </w:p>
              </w:tc>
              <w:tc>
                <w:tcPr>
                  <w:tcW w:w="2781" w:type="dxa"/>
                </w:tcPr>
                <w:p>
                  <w:pPr>
                    <w:pStyle w:val="14"/>
                    <w:rPr>
                      <w:color w:val="auto"/>
                      <w:vertAlign w:val="baseline"/>
                    </w:rPr>
                  </w:pPr>
                </w:p>
              </w:tc>
              <w:tc>
                <w:tcPr>
                  <w:tcW w:w="1200" w:type="dxa"/>
                </w:tcPr>
                <w:p>
                  <w:pPr>
                    <w:pStyle w:val="14"/>
                    <w:rPr>
                      <w:color w:val="auto"/>
                      <w:vertAlign w:val="baseline"/>
                    </w:rPr>
                  </w:pPr>
                </w:p>
              </w:tc>
              <w:tc>
                <w:tcPr>
                  <w:tcW w:w="1140" w:type="dxa"/>
                </w:tcPr>
                <w:p>
                  <w:pPr>
                    <w:pStyle w:val="14"/>
                    <w:rPr>
                      <w:color w:val="auto"/>
                      <w:vertAlign w:val="baseline"/>
                    </w:rPr>
                  </w:pPr>
                </w:p>
              </w:tc>
              <w:tc>
                <w:tcPr>
                  <w:tcW w:w="1050" w:type="dxa"/>
                </w:tcPr>
                <w:p>
                  <w:pPr>
                    <w:pStyle w:val="14"/>
                    <w:rPr>
                      <w:color w:val="auto"/>
                      <w:vertAlign w:val="baseline"/>
                    </w:rPr>
                  </w:pPr>
                </w:p>
              </w:tc>
              <w:tc>
                <w:tcPr>
                  <w:tcW w:w="1020" w:type="dxa"/>
                </w:tcPr>
                <w:p>
                  <w:pPr>
                    <w:pStyle w:val="14"/>
                    <w:rPr>
                      <w:color w:val="auto"/>
                      <w:vertAlign w:val="baseline"/>
                    </w:rPr>
                  </w:pPr>
                </w:p>
              </w:tc>
              <w:tc>
                <w:tcPr>
                  <w:tcW w:w="973" w:type="dxa"/>
                </w:tcPr>
                <w:p>
                  <w:pPr>
                    <w:pStyle w:val="14"/>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6" w:type="dxa"/>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西河村一组猕猴桃园区左岸段</w:t>
                  </w:r>
                </w:p>
              </w:tc>
              <w:tc>
                <w:tcPr>
                  <w:tcW w:w="126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45</w:t>
                  </w:r>
                </w:p>
              </w:tc>
              <w:tc>
                <w:tcPr>
                  <w:tcW w:w="97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2009</w:t>
                  </w:r>
                </w:p>
              </w:tc>
              <w:tc>
                <w:tcPr>
                  <w:tcW w:w="112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1177</w:t>
                  </w:r>
                </w:p>
              </w:tc>
              <w:tc>
                <w:tcPr>
                  <w:tcW w:w="1054"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877</w:t>
                  </w:r>
                </w:p>
              </w:tc>
              <w:tc>
                <w:tcPr>
                  <w:tcW w:w="931" w:type="dxa"/>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0.00</w:t>
                  </w:r>
                </w:p>
              </w:tc>
              <w:tc>
                <w:tcPr>
                  <w:tcW w:w="2781" w:type="dxa"/>
                </w:tcPr>
                <w:p>
                  <w:pPr>
                    <w:pStyle w:val="14"/>
                    <w:rPr>
                      <w:color w:val="auto"/>
                      <w:vertAlign w:val="baseline"/>
                    </w:rPr>
                  </w:pPr>
                </w:p>
              </w:tc>
              <w:tc>
                <w:tcPr>
                  <w:tcW w:w="1200" w:type="dxa"/>
                </w:tcPr>
                <w:p>
                  <w:pPr>
                    <w:pStyle w:val="14"/>
                    <w:rPr>
                      <w:color w:val="auto"/>
                      <w:vertAlign w:val="baseline"/>
                    </w:rPr>
                  </w:pPr>
                </w:p>
              </w:tc>
              <w:tc>
                <w:tcPr>
                  <w:tcW w:w="1140" w:type="dxa"/>
                </w:tcPr>
                <w:p>
                  <w:pPr>
                    <w:pStyle w:val="14"/>
                    <w:rPr>
                      <w:color w:val="auto"/>
                      <w:vertAlign w:val="baseline"/>
                    </w:rPr>
                  </w:pPr>
                </w:p>
              </w:tc>
              <w:tc>
                <w:tcPr>
                  <w:tcW w:w="1050" w:type="dxa"/>
                </w:tcPr>
                <w:p>
                  <w:pPr>
                    <w:pStyle w:val="14"/>
                    <w:rPr>
                      <w:color w:val="auto"/>
                      <w:vertAlign w:val="baseline"/>
                    </w:rPr>
                  </w:pPr>
                </w:p>
              </w:tc>
              <w:tc>
                <w:tcPr>
                  <w:tcW w:w="1020" w:type="dxa"/>
                </w:tcPr>
                <w:p>
                  <w:pPr>
                    <w:pStyle w:val="14"/>
                    <w:rPr>
                      <w:color w:val="auto"/>
                      <w:vertAlign w:val="baseline"/>
                    </w:rPr>
                  </w:pPr>
                </w:p>
              </w:tc>
              <w:tc>
                <w:tcPr>
                  <w:tcW w:w="973" w:type="dxa"/>
                </w:tcPr>
                <w:p>
                  <w:pPr>
                    <w:pStyle w:val="14"/>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6" w:type="dxa"/>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西河村二组右岸段</w:t>
                  </w:r>
                </w:p>
              </w:tc>
              <w:tc>
                <w:tcPr>
                  <w:tcW w:w="126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227</w:t>
                  </w:r>
                </w:p>
              </w:tc>
              <w:tc>
                <w:tcPr>
                  <w:tcW w:w="97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1510</w:t>
                  </w:r>
                </w:p>
              </w:tc>
              <w:tc>
                <w:tcPr>
                  <w:tcW w:w="112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1648</w:t>
                  </w:r>
                </w:p>
              </w:tc>
              <w:tc>
                <w:tcPr>
                  <w:tcW w:w="1054"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89</w:t>
                  </w:r>
                </w:p>
              </w:tc>
              <w:tc>
                <w:tcPr>
                  <w:tcW w:w="931" w:type="dxa"/>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0.00</w:t>
                  </w:r>
                </w:p>
              </w:tc>
              <w:tc>
                <w:tcPr>
                  <w:tcW w:w="2781" w:type="dxa"/>
                </w:tcPr>
                <w:p>
                  <w:pPr>
                    <w:pStyle w:val="14"/>
                    <w:rPr>
                      <w:color w:val="auto"/>
                      <w:vertAlign w:val="baseline"/>
                    </w:rPr>
                  </w:pPr>
                </w:p>
              </w:tc>
              <w:tc>
                <w:tcPr>
                  <w:tcW w:w="1200" w:type="dxa"/>
                </w:tcPr>
                <w:p>
                  <w:pPr>
                    <w:pStyle w:val="14"/>
                    <w:rPr>
                      <w:color w:val="auto"/>
                      <w:vertAlign w:val="baseline"/>
                    </w:rPr>
                  </w:pPr>
                </w:p>
              </w:tc>
              <w:tc>
                <w:tcPr>
                  <w:tcW w:w="1140" w:type="dxa"/>
                </w:tcPr>
                <w:p>
                  <w:pPr>
                    <w:pStyle w:val="14"/>
                    <w:rPr>
                      <w:color w:val="auto"/>
                      <w:vertAlign w:val="baseline"/>
                    </w:rPr>
                  </w:pPr>
                </w:p>
              </w:tc>
              <w:tc>
                <w:tcPr>
                  <w:tcW w:w="1050" w:type="dxa"/>
                </w:tcPr>
                <w:p>
                  <w:pPr>
                    <w:pStyle w:val="14"/>
                    <w:rPr>
                      <w:color w:val="auto"/>
                      <w:vertAlign w:val="baseline"/>
                    </w:rPr>
                  </w:pPr>
                </w:p>
              </w:tc>
              <w:tc>
                <w:tcPr>
                  <w:tcW w:w="1020" w:type="dxa"/>
                </w:tcPr>
                <w:p>
                  <w:pPr>
                    <w:pStyle w:val="14"/>
                    <w:rPr>
                      <w:color w:val="auto"/>
                      <w:vertAlign w:val="baseline"/>
                    </w:rPr>
                  </w:pPr>
                </w:p>
              </w:tc>
              <w:tc>
                <w:tcPr>
                  <w:tcW w:w="973" w:type="dxa"/>
                </w:tcPr>
                <w:p>
                  <w:pPr>
                    <w:pStyle w:val="14"/>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6" w:type="dxa"/>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龙安村龙安电站左岸段</w:t>
                  </w:r>
                </w:p>
              </w:tc>
              <w:tc>
                <w:tcPr>
                  <w:tcW w:w="126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697</w:t>
                  </w:r>
                </w:p>
              </w:tc>
              <w:tc>
                <w:tcPr>
                  <w:tcW w:w="97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9267</w:t>
                  </w:r>
                </w:p>
              </w:tc>
              <w:tc>
                <w:tcPr>
                  <w:tcW w:w="112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6616</w:t>
                  </w:r>
                </w:p>
              </w:tc>
              <w:tc>
                <w:tcPr>
                  <w:tcW w:w="1054"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3348</w:t>
                  </w:r>
                </w:p>
              </w:tc>
              <w:tc>
                <w:tcPr>
                  <w:tcW w:w="931" w:type="dxa"/>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0.00</w:t>
                  </w:r>
                </w:p>
              </w:tc>
              <w:tc>
                <w:tcPr>
                  <w:tcW w:w="2781" w:type="dxa"/>
                </w:tcPr>
                <w:p>
                  <w:pPr>
                    <w:pStyle w:val="14"/>
                    <w:rPr>
                      <w:color w:val="auto"/>
                      <w:vertAlign w:val="baseline"/>
                    </w:rPr>
                  </w:pPr>
                </w:p>
              </w:tc>
              <w:tc>
                <w:tcPr>
                  <w:tcW w:w="1200" w:type="dxa"/>
                </w:tcPr>
                <w:p>
                  <w:pPr>
                    <w:pStyle w:val="14"/>
                    <w:rPr>
                      <w:color w:val="auto"/>
                      <w:vertAlign w:val="baseline"/>
                    </w:rPr>
                  </w:pPr>
                </w:p>
              </w:tc>
              <w:tc>
                <w:tcPr>
                  <w:tcW w:w="1140" w:type="dxa"/>
                </w:tcPr>
                <w:p>
                  <w:pPr>
                    <w:pStyle w:val="14"/>
                    <w:rPr>
                      <w:color w:val="auto"/>
                      <w:vertAlign w:val="baseline"/>
                    </w:rPr>
                  </w:pPr>
                </w:p>
              </w:tc>
              <w:tc>
                <w:tcPr>
                  <w:tcW w:w="1050" w:type="dxa"/>
                </w:tcPr>
                <w:p>
                  <w:pPr>
                    <w:pStyle w:val="14"/>
                    <w:rPr>
                      <w:color w:val="auto"/>
                      <w:vertAlign w:val="baseline"/>
                    </w:rPr>
                  </w:pPr>
                </w:p>
              </w:tc>
              <w:tc>
                <w:tcPr>
                  <w:tcW w:w="1020" w:type="dxa"/>
                </w:tcPr>
                <w:p>
                  <w:pPr>
                    <w:pStyle w:val="14"/>
                    <w:rPr>
                      <w:color w:val="auto"/>
                      <w:vertAlign w:val="baseline"/>
                    </w:rPr>
                  </w:pPr>
                </w:p>
              </w:tc>
              <w:tc>
                <w:tcPr>
                  <w:tcW w:w="973" w:type="dxa"/>
                </w:tcPr>
                <w:p>
                  <w:pPr>
                    <w:pStyle w:val="14"/>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6" w:type="dxa"/>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大盘河新生村左岸段</w:t>
                  </w:r>
                </w:p>
              </w:tc>
              <w:tc>
                <w:tcPr>
                  <w:tcW w:w="126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1267</w:t>
                  </w:r>
                </w:p>
              </w:tc>
              <w:tc>
                <w:tcPr>
                  <w:tcW w:w="97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12132</w:t>
                  </w:r>
                </w:p>
              </w:tc>
              <w:tc>
                <w:tcPr>
                  <w:tcW w:w="112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9189</w:t>
                  </w:r>
                </w:p>
              </w:tc>
              <w:tc>
                <w:tcPr>
                  <w:tcW w:w="1054"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4210</w:t>
                  </w:r>
                </w:p>
              </w:tc>
              <w:tc>
                <w:tcPr>
                  <w:tcW w:w="931" w:type="dxa"/>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0.00</w:t>
                  </w:r>
                </w:p>
              </w:tc>
              <w:tc>
                <w:tcPr>
                  <w:tcW w:w="2781" w:type="dxa"/>
                </w:tcPr>
                <w:p>
                  <w:pPr>
                    <w:pStyle w:val="14"/>
                    <w:rPr>
                      <w:color w:val="auto"/>
                      <w:vertAlign w:val="baseline"/>
                    </w:rPr>
                  </w:pPr>
                </w:p>
              </w:tc>
              <w:tc>
                <w:tcPr>
                  <w:tcW w:w="1200" w:type="dxa"/>
                </w:tcPr>
                <w:p>
                  <w:pPr>
                    <w:pStyle w:val="14"/>
                    <w:rPr>
                      <w:color w:val="auto"/>
                      <w:vertAlign w:val="baseline"/>
                    </w:rPr>
                  </w:pPr>
                </w:p>
              </w:tc>
              <w:tc>
                <w:tcPr>
                  <w:tcW w:w="1140" w:type="dxa"/>
                </w:tcPr>
                <w:p>
                  <w:pPr>
                    <w:pStyle w:val="14"/>
                    <w:rPr>
                      <w:color w:val="auto"/>
                      <w:vertAlign w:val="baseline"/>
                    </w:rPr>
                  </w:pPr>
                </w:p>
              </w:tc>
              <w:tc>
                <w:tcPr>
                  <w:tcW w:w="1050" w:type="dxa"/>
                </w:tcPr>
                <w:p>
                  <w:pPr>
                    <w:pStyle w:val="14"/>
                    <w:rPr>
                      <w:color w:val="auto"/>
                      <w:vertAlign w:val="baseline"/>
                    </w:rPr>
                  </w:pPr>
                </w:p>
              </w:tc>
              <w:tc>
                <w:tcPr>
                  <w:tcW w:w="1020" w:type="dxa"/>
                </w:tcPr>
                <w:p>
                  <w:pPr>
                    <w:pStyle w:val="14"/>
                    <w:rPr>
                      <w:color w:val="auto"/>
                      <w:vertAlign w:val="baseline"/>
                    </w:rPr>
                  </w:pPr>
                </w:p>
              </w:tc>
              <w:tc>
                <w:tcPr>
                  <w:tcW w:w="973" w:type="dxa"/>
                </w:tcPr>
                <w:p>
                  <w:pPr>
                    <w:pStyle w:val="14"/>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6" w:type="dxa"/>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合计</w:t>
                  </w:r>
                </w:p>
              </w:tc>
              <w:tc>
                <w:tcPr>
                  <w:tcW w:w="126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6989</w:t>
                  </w:r>
                </w:p>
              </w:tc>
              <w:tc>
                <w:tcPr>
                  <w:tcW w:w="97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62808</w:t>
                  </w:r>
                </w:p>
              </w:tc>
              <w:tc>
                <w:tcPr>
                  <w:tcW w:w="112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47671</w:t>
                  </w:r>
                </w:p>
              </w:tc>
              <w:tc>
                <w:tcPr>
                  <w:tcW w:w="1054"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22126</w:t>
                  </w:r>
                </w:p>
              </w:tc>
              <w:tc>
                <w:tcPr>
                  <w:tcW w:w="931" w:type="dxa"/>
                  <w:vAlign w:val="center"/>
                </w:tcPr>
                <w:p>
                  <w:pPr>
                    <w:pStyle w:val="67"/>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0.00</w:t>
                  </w:r>
                </w:p>
              </w:tc>
              <w:tc>
                <w:tcPr>
                  <w:tcW w:w="2781" w:type="dxa"/>
                </w:tcPr>
                <w:p>
                  <w:pPr>
                    <w:pStyle w:val="14"/>
                    <w:rPr>
                      <w:color w:val="auto"/>
                      <w:vertAlign w:val="baseline"/>
                    </w:rPr>
                  </w:pPr>
                </w:p>
              </w:tc>
              <w:tc>
                <w:tcPr>
                  <w:tcW w:w="1200" w:type="dxa"/>
                </w:tcPr>
                <w:p>
                  <w:pPr>
                    <w:pStyle w:val="14"/>
                    <w:rPr>
                      <w:color w:val="auto"/>
                      <w:vertAlign w:val="baseline"/>
                    </w:rPr>
                  </w:pPr>
                </w:p>
              </w:tc>
              <w:tc>
                <w:tcPr>
                  <w:tcW w:w="1140" w:type="dxa"/>
                </w:tcPr>
                <w:p>
                  <w:pPr>
                    <w:pStyle w:val="14"/>
                    <w:rPr>
                      <w:color w:val="auto"/>
                      <w:vertAlign w:val="baseline"/>
                    </w:rPr>
                  </w:pPr>
                </w:p>
              </w:tc>
              <w:tc>
                <w:tcPr>
                  <w:tcW w:w="1050" w:type="dxa"/>
                </w:tcPr>
                <w:p>
                  <w:pPr>
                    <w:pStyle w:val="14"/>
                    <w:rPr>
                      <w:color w:val="auto"/>
                      <w:vertAlign w:val="baseline"/>
                    </w:rPr>
                  </w:pPr>
                </w:p>
              </w:tc>
              <w:tc>
                <w:tcPr>
                  <w:tcW w:w="1020" w:type="dxa"/>
                </w:tcPr>
                <w:p>
                  <w:pPr>
                    <w:pStyle w:val="14"/>
                    <w:rPr>
                      <w:color w:val="auto"/>
                      <w:vertAlign w:val="baseline"/>
                    </w:rPr>
                  </w:pPr>
                </w:p>
              </w:tc>
              <w:tc>
                <w:tcPr>
                  <w:tcW w:w="973" w:type="dxa"/>
                </w:tcPr>
                <w:p>
                  <w:pPr>
                    <w:pStyle w:val="14"/>
                    <w:rPr>
                      <w:color w:val="auto"/>
                      <w:vertAlign w:val="baseline"/>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textAlignment w:val="auto"/>
              <w:rPr>
                <w:rFonts w:hint="eastAsia"/>
                <w:color w:val="auto"/>
                <w:lang w:val="en-US" w:eastAsia="zh-CN"/>
              </w:rPr>
            </w:pPr>
            <w:r>
              <w:rPr>
                <w:color w:val="auto"/>
                <w:highlight w:val="none"/>
              </w:rPr>
              <w:t>根据土石方平衡分析计算，弃方量</w:t>
            </w:r>
            <w:r>
              <w:rPr>
                <w:rFonts w:hint="default" w:ascii="Times New Roman" w:hAnsi="Times New Roman" w:eastAsia="宋体" w:cs="Times New Roman"/>
                <w:i w:val="0"/>
                <w:iCs w:val="0"/>
                <w:color w:val="auto"/>
                <w:kern w:val="0"/>
                <w:sz w:val="21"/>
                <w:szCs w:val="21"/>
                <w:u w:val="none"/>
                <w:lang w:val="en-US" w:eastAsia="zh-CN" w:bidi="ar"/>
              </w:rPr>
              <w:t>22126</w:t>
            </w:r>
            <w:r>
              <w:rPr>
                <w:color w:val="auto"/>
                <w:highlight w:val="none"/>
              </w:rPr>
              <w:t>m³</w:t>
            </w:r>
            <w:r>
              <w:rPr>
                <w:rFonts w:hint="eastAsia"/>
                <w:color w:val="auto"/>
                <w:highlight w:val="none"/>
              </w:rPr>
              <w:t>，</w:t>
            </w:r>
            <w:r>
              <w:rPr>
                <w:color w:val="auto"/>
                <w:highlight w:val="none"/>
              </w:rPr>
              <w:t>结合项目区地形条件，将弃渣</w:t>
            </w:r>
            <w:r>
              <w:rPr>
                <w:rFonts w:hint="eastAsia"/>
                <w:color w:val="auto"/>
                <w:highlight w:val="none"/>
              </w:rPr>
              <w:t>回填</w:t>
            </w:r>
            <w:r>
              <w:rPr>
                <w:color w:val="auto"/>
                <w:highlight w:val="none"/>
              </w:rPr>
              <w:t>于</w:t>
            </w:r>
            <w:r>
              <w:rPr>
                <w:rFonts w:hint="eastAsia"/>
                <w:color w:val="auto"/>
                <w:highlight w:val="none"/>
              </w:rPr>
              <w:t>各</w:t>
            </w:r>
            <w:r>
              <w:rPr>
                <w:color w:val="auto"/>
                <w:highlight w:val="none"/>
              </w:rPr>
              <w:t>工程</w:t>
            </w:r>
            <w:r>
              <w:rPr>
                <w:rFonts w:hint="eastAsia"/>
                <w:color w:val="auto"/>
                <w:highlight w:val="none"/>
              </w:rPr>
              <w:t>段</w:t>
            </w:r>
            <w:r>
              <w:rPr>
                <w:color w:val="auto"/>
                <w:highlight w:val="none"/>
              </w:rPr>
              <w:t>背水侧低洼地带</w:t>
            </w:r>
            <w:r>
              <w:rPr>
                <w:rFonts w:hint="eastAsia"/>
                <w:color w:val="auto"/>
                <w:highlight w:val="none"/>
              </w:rPr>
              <w:t>，或运至工程区上、下游侧段对堤后低洼地带进行回填，对弃方进行平整碾压，并对表层覆土，进行植被恢复</w:t>
            </w:r>
            <w:r>
              <w:rPr>
                <w:rFonts w:hint="eastAsia"/>
                <w:color w:val="auto"/>
                <w:kern w:val="0"/>
                <w:szCs w:val="21"/>
                <w:lang w:val="en-US" w:eastAsia="zh-CN"/>
              </w:rPr>
              <w:t>，所以本次施工不设专门的弃渣场地。</w:t>
            </w:r>
          </w:p>
          <w:p>
            <w:pPr>
              <w:spacing w:line="360" w:lineRule="auto"/>
              <w:jc w:val="left"/>
              <w:rPr>
                <w:rFonts w:hint="default"/>
                <w:b/>
                <w:bCs/>
                <w:color w:val="auto"/>
                <w:lang w:val="en-US" w:eastAsia="zh-CN"/>
              </w:rPr>
            </w:pPr>
            <w:r>
              <w:rPr>
                <w:rFonts w:hint="eastAsia"/>
                <w:b/>
                <w:bCs/>
                <w:color w:val="auto"/>
                <w:lang w:val="en-US" w:eastAsia="zh-CN"/>
              </w:rPr>
              <w:t>七、拆迁征地</w:t>
            </w:r>
          </w:p>
          <w:p>
            <w:pPr>
              <w:spacing w:line="360" w:lineRule="auto"/>
              <w:jc w:val="left"/>
              <w:rPr>
                <w:rFonts w:hint="eastAsia"/>
                <w:color w:val="auto"/>
                <w:lang w:val="en-US" w:eastAsia="zh-CN"/>
              </w:rPr>
            </w:pPr>
            <w:r>
              <w:rPr>
                <w:rFonts w:hint="eastAsia"/>
                <w:color w:val="auto"/>
                <w:lang w:val="en-US" w:eastAsia="zh-CN"/>
              </w:rPr>
              <w:t>（1）工程占地</w:t>
            </w:r>
          </w:p>
          <w:p>
            <w:pPr>
              <w:adjustRightInd w:val="0"/>
              <w:snapToGrid w:val="0"/>
              <w:spacing w:line="360" w:lineRule="auto"/>
              <w:ind w:firstLine="420" w:firstLineChars="200"/>
              <w:rPr>
                <w:rFonts w:hint="eastAsia"/>
                <w:color w:val="auto"/>
                <w:kern w:val="0"/>
                <w:szCs w:val="21"/>
                <w:lang w:val="en-US" w:eastAsia="zh-CN"/>
              </w:rPr>
            </w:pPr>
            <w:r>
              <w:rPr>
                <w:rFonts w:hint="eastAsia"/>
                <w:color w:val="auto"/>
                <w:kern w:val="0"/>
                <w:szCs w:val="21"/>
                <w:lang w:val="en-US" w:eastAsia="zh-CN"/>
              </w:rPr>
              <w:t>该工程建设占地共计3.14</w:t>
            </w:r>
            <w:r>
              <w:rPr>
                <w:rFonts w:hint="default"/>
                <w:color w:val="auto"/>
                <w:kern w:val="0"/>
                <w:szCs w:val="21"/>
                <w:lang w:val="en-US" w:eastAsia="zh-CN"/>
              </w:rPr>
              <w:t>hm</w:t>
            </w:r>
            <w:r>
              <w:rPr>
                <w:rFonts w:hint="default"/>
                <w:color w:val="auto"/>
                <w:kern w:val="0"/>
                <w:szCs w:val="21"/>
                <w:vertAlign w:val="superscript"/>
                <w:lang w:val="en-US" w:eastAsia="zh-CN"/>
              </w:rPr>
              <w:t>2</w:t>
            </w:r>
            <w:r>
              <w:rPr>
                <w:rFonts w:hint="eastAsia"/>
                <w:color w:val="auto"/>
                <w:kern w:val="0"/>
                <w:szCs w:val="21"/>
                <w:lang w:val="en-US" w:eastAsia="zh-CN"/>
              </w:rPr>
              <w:t>，其中永久占地0.62</w:t>
            </w:r>
            <w:r>
              <w:rPr>
                <w:rFonts w:hint="default"/>
                <w:color w:val="auto"/>
                <w:kern w:val="0"/>
                <w:szCs w:val="21"/>
                <w:lang w:val="en-US" w:eastAsia="zh-CN"/>
              </w:rPr>
              <w:t>hm</w:t>
            </w:r>
            <w:r>
              <w:rPr>
                <w:rFonts w:hint="default"/>
                <w:color w:val="auto"/>
                <w:kern w:val="0"/>
                <w:szCs w:val="21"/>
                <w:vertAlign w:val="superscript"/>
                <w:lang w:val="en-US" w:eastAsia="zh-CN"/>
              </w:rPr>
              <w:t>2</w:t>
            </w:r>
            <w:r>
              <w:rPr>
                <w:rFonts w:hint="eastAsia"/>
                <w:color w:val="auto"/>
                <w:kern w:val="0"/>
                <w:szCs w:val="21"/>
                <w:lang w:val="en-US" w:eastAsia="zh-CN"/>
              </w:rPr>
              <w:t>，临时征用土地面积2.52</w:t>
            </w:r>
            <w:r>
              <w:rPr>
                <w:rFonts w:hint="default"/>
                <w:color w:val="auto"/>
                <w:kern w:val="0"/>
                <w:szCs w:val="21"/>
                <w:lang w:val="en-US" w:eastAsia="zh-CN"/>
              </w:rPr>
              <w:t>hm</w:t>
            </w:r>
            <w:r>
              <w:rPr>
                <w:rFonts w:hint="default"/>
                <w:color w:val="auto"/>
                <w:kern w:val="0"/>
                <w:szCs w:val="21"/>
                <w:vertAlign w:val="superscript"/>
                <w:lang w:val="en-US" w:eastAsia="zh-CN"/>
              </w:rPr>
              <w:t>2</w:t>
            </w:r>
            <w:r>
              <w:rPr>
                <w:rFonts w:hint="eastAsia"/>
                <w:color w:val="auto"/>
                <w:kern w:val="0"/>
                <w:szCs w:val="21"/>
                <w:lang w:val="en-US" w:eastAsia="zh-CN"/>
              </w:rPr>
              <w:t>。永久占地类型为内陆滩涂、耕地和未利用地，属于划定的护堤地。临时占地类型为内陆滩涂、耕地和未利用地。工程占地类型详见表</w:t>
            </w:r>
            <w:r>
              <w:rPr>
                <w:rFonts w:hint="default"/>
                <w:color w:val="auto"/>
                <w:kern w:val="0"/>
                <w:szCs w:val="21"/>
                <w:lang w:val="en-US" w:eastAsia="zh-CN"/>
              </w:rPr>
              <w:t>2-6</w:t>
            </w:r>
            <w:r>
              <w:rPr>
                <w:rFonts w:hint="eastAsia"/>
                <w:color w:val="auto"/>
                <w:kern w:val="0"/>
                <w:szCs w:val="21"/>
                <w:lang w:val="en-US" w:eastAsia="zh-CN"/>
              </w:rPr>
              <w:t>。</w:t>
            </w:r>
          </w:p>
          <w:p>
            <w:pPr>
              <w:keepNext w:val="0"/>
              <w:keepLines w:val="0"/>
              <w:widowControl/>
              <w:suppressLineNumbers w:val="0"/>
              <w:jc w:val="center"/>
              <w:rPr>
                <w:color w:val="auto"/>
              </w:rPr>
            </w:pPr>
            <w:r>
              <w:rPr>
                <w:rFonts w:ascii="黑体" w:hAnsi="宋体" w:eastAsia="黑体" w:cs="黑体"/>
                <w:color w:val="auto"/>
                <w:kern w:val="0"/>
                <w:sz w:val="21"/>
                <w:szCs w:val="21"/>
                <w:lang w:val="en-US" w:eastAsia="zh-CN" w:bidi="ar"/>
              </w:rPr>
              <w:t xml:space="preserve">表 </w:t>
            </w:r>
            <w:r>
              <w:rPr>
                <w:rFonts w:hint="default" w:ascii="Times New Roman" w:hAnsi="Times New Roman" w:eastAsia="宋体" w:cs="Times New Roman"/>
                <w:color w:val="auto"/>
                <w:kern w:val="0"/>
                <w:sz w:val="21"/>
                <w:szCs w:val="21"/>
                <w:lang w:val="en-US" w:eastAsia="zh-CN" w:bidi="ar"/>
              </w:rPr>
              <w:t xml:space="preserve">2-6 </w:t>
            </w:r>
            <w:r>
              <w:rPr>
                <w:rFonts w:hint="eastAsia" w:ascii="黑体" w:hAnsi="宋体" w:eastAsia="黑体" w:cs="黑体"/>
                <w:color w:val="auto"/>
                <w:kern w:val="0"/>
                <w:sz w:val="21"/>
                <w:szCs w:val="21"/>
                <w:lang w:val="en-US" w:eastAsia="zh-CN" w:bidi="ar"/>
              </w:rPr>
              <w:t>占地类型</w:t>
            </w:r>
          </w:p>
          <w:tbl>
            <w:tblPr>
              <w:tblStyle w:val="19"/>
              <w:tblW w:w="8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75"/>
              <w:gridCol w:w="1560"/>
              <w:gridCol w:w="1800"/>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restart"/>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项目</w:t>
                  </w:r>
                </w:p>
              </w:tc>
              <w:tc>
                <w:tcPr>
                  <w:tcW w:w="4935" w:type="dxa"/>
                  <w:gridSpan w:val="3"/>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占地类型</w:t>
                  </w:r>
                </w:p>
              </w:tc>
              <w:tc>
                <w:tcPr>
                  <w:tcW w:w="1753" w:type="dxa"/>
                  <w:vMerge w:val="restart"/>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cs="Times New Roman"/>
                      <w:color w:val="auto"/>
                      <w:sz w:val="21"/>
                      <w:szCs w:val="21"/>
                      <w:vertAlign w:val="baseline"/>
                      <w:lang w:val="en-US" w:eastAsia="zh-CN"/>
                    </w:rPr>
                  </w:pPr>
                </w:p>
              </w:tc>
              <w:tc>
                <w:tcPr>
                  <w:tcW w:w="1575"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highlight w:val="none"/>
                    </w:rPr>
                    <w:t>耕地</w:t>
                  </w:r>
                </w:p>
              </w:tc>
              <w:tc>
                <w:tcPr>
                  <w:tcW w:w="1560"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highlight w:val="none"/>
                    </w:rPr>
                    <w:t>未利用地</w:t>
                  </w:r>
                </w:p>
              </w:tc>
              <w:tc>
                <w:tcPr>
                  <w:tcW w:w="1800"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kern w:val="0"/>
                      <w:szCs w:val="21"/>
                      <w:lang w:val="en-US" w:eastAsia="zh-CN"/>
                    </w:rPr>
                    <w:t>内陆滩涂</w:t>
                  </w:r>
                </w:p>
              </w:tc>
              <w:tc>
                <w:tcPr>
                  <w:tcW w:w="1753"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476"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永久工程</w:t>
                  </w:r>
                </w:p>
              </w:tc>
              <w:tc>
                <w:tcPr>
                  <w:tcW w:w="1575"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0.33</w:t>
                  </w:r>
                </w:p>
              </w:tc>
              <w:tc>
                <w:tcPr>
                  <w:tcW w:w="15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0.06</w:t>
                  </w:r>
                </w:p>
              </w:tc>
              <w:tc>
                <w:tcPr>
                  <w:tcW w:w="180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0.24</w:t>
                  </w:r>
                </w:p>
              </w:tc>
              <w:tc>
                <w:tcPr>
                  <w:tcW w:w="1753"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临时工程</w:t>
                  </w:r>
                </w:p>
              </w:tc>
              <w:tc>
                <w:tcPr>
                  <w:tcW w:w="1575"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0.35</w:t>
                  </w:r>
                </w:p>
              </w:tc>
              <w:tc>
                <w:tcPr>
                  <w:tcW w:w="15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0.21</w:t>
                  </w:r>
                </w:p>
              </w:tc>
              <w:tc>
                <w:tcPr>
                  <w:tcW w:w="180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1.96</w:t>
                  </w:r>
                </w:p>
              </w:tc>
              <w:tc>
                <w:tcPr>
                  <w:tcW w:w="1753"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2.52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总计</w:t>
                  </w:r>
                </w:p>
              </w:tc>
              <w:tc>
                <w:tcPr>
                  <w:tcW w:w="1575"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0.68</w:t>
                  </w:r>
                </w:p>
              </w:tc>
              <w:tc>
                <w:tcPr>
                  <w:tcW w:w="15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0.27</w:t>
                  </w:r>
                </w:p>
              </w:tc>
              <w:tc>
                <w:tcPr>
                  <w:tcW w:w="180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2.19</w:t>
                  </w:r>
                </w:p>
              </w:tc>
              <w:tc>
                <w:tcPr>
                  <w:tcW w:w="1753"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3.14 </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lang w:val="en-US" w:eastAsia="zh-CN"/>
              </w:rPr>
            </w:pPr>
            <w:r>
              <w:rPr>
                <w:rFonts w:hint="eastAsia"/>
                <w:color w:val="auto"/>
                <w:lang w:val="en-US" w:eastAsia="zh-CN"/>
              </w:rPr>
              <w:t>（2）工程搬迁、拆迁</w:t>
            </w:r>
          </w:p>
          <w:p>
            <w:pPr>
              <w:adjustRightInd w:val="0"/>
              <w:snapToGrid w:val="0"/>
              <w:spacing w:line="360" w:lineRule="auto"/>
              <w:ind w:firstLine="420" w:firstLineChars="200"/>
              <w:rPr>
                <w:rFonts w:hint="eastAsia"/>
                <w:color w:val="auto"/>
                <w:kern w:val="0"/>
                <w:szCs w:val="21"/>
              </w:rPr>
            </w:pPr>
            <w:r>
              <w:rPr>
                <w:rFonts w:hint="eastAsia"/>
                <w:color w:val="auto"/>
                <w:kern w:val="0"/>
                <w:szCs w:val="21"/>
                <w:lang w:val="en-US" w:eastAsia="zh-CN"/>
              </w:rPr>
              <w:t>本工程建设征地范围内不涉及人口搬迁和拆迁房屋。</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b/>
                <w:bCs/>
                <w:color w:val="auto"/>
                <w:szCs w:val="21"/>
              </w:rPr>
            </w:pPr>
            <w:r>
              <w:rPr>
                <w:rFonts w:hint="eastAsia"/>
                <w:b/>
                <w:bCs/>
                <w:color w:val="auto"/>
                <w:szCs w:val="21"/>
                <w:lang w:val="en-US" w:eastAsia="zh-CN"/>
              </w:rPr>
              <w:t>八、</w:t>
            </w:r>
            <w:r>
              <w:rPr>
                <w:rFonts w:hint="eastAsia"/>
                <w:b/>
                <w:bCs/>
                <w:color w:val="auto"/>
                <w:szCs w:val="21"/>
              </w:rPr>
              <w:t>建筑材料</w:t>
            </w:r>
          </w:p>
          <w:p>
            <w:pPr>
              <w:adjustRightInd w:val="0"/>
              <w:snapToGrid w:val="0"/>
              <w:spacing w:line="360" w:lineRule="auto"/>
              <w:ind w:firstLine="420" w:firstLineChars="200"/>
              <w:jc w:val="left"/>
              <w:rPr>
                <w:color w:val="auto"/>
                <w:szCs w:val="21"/>
              </w:rPr>
            </w:pPr>
            <w:r>
              <w:rPr>
                <w:rFonts w:hint="eastAsia"/>
                <w:color w:val="auto"/>
                <w:szCs w:val="21"/>
                <w:lang w:eastAsia="zh-CN"/>
              </w:rPr>
              <w:t>（</w:t>
            </w:r>
            <w:r>
              <w:rPr>
                <w:rFonts w:hint="eastAsia"/>
                <w:color w:val="auto"/>
                <w:szCs w:val="21"/>
                <w:lang w:val="en-US" w:eastAsia="zh-CN"/>
              </w:rPr>
              <w:t>1</w:t>
            </w:r>
            <w:r>
              <w:rPr>
                <w:rFonts w:hint="eastAsia"/>
                <w:color w:val="auto"/>
                <w:szCs w:val="21"/>
                <w:lang w:eastAsia="zh-CN"/>
              </w:rPr>
              <w:t>）</w:t>
            </w:r>
            <w:r>
              <w:rPr>
                <w:rFonts w:hint="eastAsia"/>
                <w:color w:val="auto"/>
                <w:szCs w:val="21"/>
              </w:rPr>
              <w:t>天然建筑材料</w:t>
            </w:r>
            <w:r>
              <w:rPr>
                <w:rFonts w:hint="eastAsia"/>
                <w:color w:val="auto"/>
                <w:szCs w:val="21"/>
                <w:lang w:eastAsia="zh-CN"/>
              </w:rPr>
              <w:t>：</w:t>
            </w:r>
            <w:r>
              <w:rPr>
                <w:rFonts w:hint="eastAsia"/>
                <w:color w:val="auto"/>
                <w:szCs w:val="21"/>
              </w:rPr>
              <w:t>工程所需天然建材种类主要有：填筑料砂砾料、混凝土粗细骨料及石料。</w:t>
            </w:r>
          </w:p>
          <w:p>
            <w:pPr>
              <w:adjustRightInd w:val="0"/>
              <w:snapToGrid w:val="0"/>
              <w:spacing w:line="360" w:lineRule="auto"/>
              <w:ind w:firstLine="420" w:firstLineChars="200"/>
              <w:jc w:val="left"/>
              <w:rPr>
                <w:color w:val="auto"/>
                <w:szCs w:val="21"/>
              </w:rPr>
            </w:pPr>
            <w:r>
              <w:rPr>
                <w:rFonts w:hint="eastAsia"/>
                <w:color w:val="auto"/>
                <w:szCs w:val="21"/>
                <w:lang w:eastAsia="zh-CN"/>
              </w:rPr>
              <w:t>（</w:t>
            </w:r>
            <w:r>
              <w:rPr>
                <w:rFonts w:hint="eastAsia"/>
                <w:color w:val="auto"/>
                <w:szCs w:val="21"/>
                <w:lang w:val="en-US" w:eastAsia="zh-CN"/>
              </w:rPr>
              <w:t>2</w:t>
            </w:r>
            <w:r>
              <w:rPr>
                <w:rFonts w:hint="eastAsia"/>
                <w:color w:val="auto"/>
                <w:szCs w:val="21"/>
                <w:lang w:eastAsia="zh-CN"/>
              </w:rPr>
              <w:t>）</w:t>
            </w:r>
            <w:r>
              <w:rPr>
                <w:rFonts w:hint="eastAsia"/>
                <w:color w:val="auto"/>
                <w:szCs w:val="21"/>
              </w:rPr>
              <w:t>填筑料砂砾料</w:t>
            </w:r>
            <w:r>
              <w:rPr>
                <w:rFonts w:hint="eastAsia"/>
                <w:color w:val="auto"/>
                <w:szCs w:val="21"/>
                <w:lang w:eastAsia="zh-CN"/>
              </w:rPr>
              <w:t>：</w:t>
            </w:r>
            <w:r>
              <w:rPr>
                <w:rFonts w:hint="eastAsia"/>
                <w:color w:val="auto"/>
                <w:szCs w:val="21"/>
              </w:rPr>
              <w:t>工程所需的填筑砂砾料可采用堤防附近河床、漫滩的砾、卵石料，储量丰富，便于机械开采，质量、储量均满足设计要求。</w:t>
            </w:r>
          </w:p>
          <w:p>
            <w:pPr>
              <w:adjustRightInd w:val="0"/>
              <w:snapToGrid w:val="0"/>
              <w:spacing w:line="360" w:lineRule="auto"/>
              <w:ind w:firstLine="420" w:firstLineChars="200"/>
              <w:jc w:val="left"/>
              <w:rPr>
                <w:color w:val="auto"/>
                <w:szCs w:val="21"/>
              </w:rPr>
            </w:pPr>
            <w:r>
              <w:rPr>
                <w:rFonts w:hint="eastAsia"/>
                <w:color w:val="auto"/>
                <w:szCs w:val="21"/>
                <w:lang w:eastAsia="zh-CN"/>
              </w:rPr>
              <w:t>（</w:t>
            </w:r>
            <w:r>
              <w:rPr>
                <w:rFonts w:hint="eastAsia"/>
                <w:color w:val="auto"/>
                <w:szCs w:val="21"/>
                <w:lang w:val="en-US" w:eastAsia="zh-CN"/>
              </w:rPr>
              <w:t>3</w:t>
            </w:r>
            <w:r>
              <w:rPr>
                <w:rFonts w:hint="eastAsia"/>
                <w:color w:val="auto"/>
                <w:szCs w:val="21"/>
                <w:lang w:eastAsia="zh-CN"/>
              </w:rPr>
              <w:t>）</w:t>
            </w:r>
            <w:r>
              <w:rPr>
                <w:rFonts w:hint="eastAsia"/>
                <w:color w:val="auto"/>
                <w:szCs w:val="21"/>
              </w:rPr>
              <w:t>砼骨料</w:t>
            </w:r>
            <w:r>
              <w:rPr>
                <w:rFonts w:hint="eastAsia"/>
                <w:color w:val="auto"/>
                <w:szCs w:val="21"/>
                <w:lang w:eastAsia="zh-CN"/>
              </w:rPr>
              <w:t>：</w:t>
            </w:r>
            <w:r>
              <w:rPr>
                <w:rFonts w:hint="eastAsia"/>
                <w:color w:val="auto"/>
                <w:szCs w:val="21"/>
              </w:rPr>
              <w:t>砼细骨料可选用岚皋本地砂砾料筛选后成品砂、砾料，质量、储量均满足设计要求。砼粗骨料除大盘河新生村左岸段选用石门镇鑫山石料场以外，其余段落均采用南宫山镇喜娃子石料厂，料源丰富、交通便利；鑫山石料场距大盘河新生村工程区约13km，喜娃子石料场距离工程区岚河干支流段最远距离约7km。</w:t>
            </w:r>
          </w:p>
          <w:p>
            <w:pPr>
              <w:adjustRightInd w:val="0"/>
              <w:snapToGrid w:val="0"/>
              <w:spacing w:line="360" w:lineRule="auto"/>
              <w:ind w:firstLine="420" w:firstLineChars="200"/>
              <w:jc w:val="left"/>
              <w:rPr>
                <w:color w:val="auto"/>
                <w:szCs w:val="21"/>
              </w:rPr>
            </w:pPr>
            <w:r>
              <w:rPr>
                <w:rFonts w:hint="eastAsia"/>
                <w:color w:val="auto"/>
                <w:szCs w:val="21"/>
                <w:lang w:eastAsia="zh-CN"/>
              </w:rPr>
              <w:t>（</w:t>
            </w:r>
            <w:r>
              <w:rPr>
                <w:rFonts w:hint="eastAsia"/>
                <w:color w:val="auto"/>
                <w:szCs w:val="21"/>
                <w:lang w:val="en-US" w:eastAsia="zh-CN"/>
              </w:rPr>
              <w:t>4</w:t>
            </w:r>
            <w:r>
              <w:rPr>
                <w:rFonts w:hint="eastAsia"/>
                <w:color w:val="auto"/>
                <w:szCs w:val="21"/>
                <w:lang w:eastAsia="zh-CN"/>
              </w:rPr>
              <w:t>）</w:t>
            </w:r>
            <w:r>
              <w:rPr>
                <w:rFonts w:hint="eastAsia"/>
                <w:color w:val="auto"/>
                <w:szCs w:val="21"/>
              </w:rPr>
              <w:t>石料</w:t>
            </w:r>
            <w:r>
              <w:rPr>
                <w:rFonts w:hint="eastAsia"/>
                <w:color w:val="auto"/>
                <w:szCs w:val="21"/>
                <w:lang w:eastAsia="zh-CN"/>
              </w:rPr>
              <w:t>：</w:t>
            </w:r>
            <w:r>
              <w:rPr>
                <w:rFonts w:hint="eastAsia"/>
                <w:color w:val="auto"/>
                <w:szCs w:val="21"/>
              </w:rPr>
              <w:t>工程所需石料除大盘河新生村左岸段选用石门镇鑫山石料场以外，其余段落均采用南宫山镇喜娃子石料厂。其中鑫山石料场距大盘河新生村工程区约13km，喜娃子石料场距离工程区岚河干支流段最远距离约7km，两座料场储量丰富，便于开采。</w:t>
            </w:r>
          </w:p>
          <w:p>
            <w:pPr>
              <w:adjustRightInd w:val="0"/>
              <w:snapToGrid w:val="0"/>
              <w:spacing w:line="360" w:lineRule="auto"/>
              <w:ind w:firstLine="420" w:firstLineChars="200"/>
              <w:jc w:val="left"/>
              <w:rPr>
                <w:color w:val="auto"/>
                <w:szCs w:val="21"/>
              </w:rPr>
            </w:pPr>
            <w:r>
              <w:rPr>
                <w:rFonts w:hint="eastAsia"/>
                <w:color w:val="auto"/>
                <w:szCs w:val="21"/>
              </w:rPr>
              <w:t>（5）其他材料</w:t>
            </w:r>
          </w:p>
          <w:p>
            <w:pPr>
              <w:adjustRightInd w:val="0"/>
              <w:snapToGrid w:val="0"/>
              <w:spacing w:line="360" w:lineRule="auto"/>
              <w:ind w:firstLine="420" w:firstLineChars="200"/>
              <w:jc w:val="left"/>
              <w:rPr>
                <w:rFonts w:hint="eastAsia"/>
                <w:color w:val="auto"/>
                <w:lang w:val="en-US" w:eastAsia="zh-CN"/>
              </w:rPr>
            </w:pPr>
            <w:r>
              <w:rPr>
                <w:rFonts w:hint="eastAsia"/>
                <w:color w:val="auto"/>
                <w:szCs w:val="21"/>
              </w:rPr>
              <w:t>工程所需其他主要建筑材料包括水泥、施工用柴油、汽油等材料，均可以从附近乡镇或岚皋县城市场购买。</w:t>
            </w:r>
          </w:p>
          <w:p>
            <w:pPr>
              <w:pStyle w:val="2"/>
              <w:ind w:right="113" w:rightChars="0"/>
              <w:rPr>
                <w:rFonts w:hint="default" w:ascii="Times New Roman" w:hAnsi="Times New Roman" w:eastAsia="宋体" w:cs="Times New Roman"/>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Align w:val="center"/>
          </w:tcPr>
          <w:p>
            <w:pPr>
              <w:adjustRightInd w:val="0"/>
              <w:snapToGrid w:val="0"/>
              <w:jc w:val="center"/>
              <w:rPr>
                <w:rFonts w:ascii="Times New Roman" w:hAnsi="Times New Roman" w:eastAsia="宋体" w:cs="Times New Roman"/>
                <w:color w:val="auto"/>
                <w:kern w:val="0"/>
                <w:sz w:val="21"/>
                <w:szCs w:val="21"/>
                <w:lang w:val="en-US" w:eastAsia="zh-CN" w:bidi="ar-SA"/>
              </w:rPr>
            </w:pPr>
            <w:r>
              <w:rPr>
                <w:color w:val="auto"/>
                <w:kern w:val="0"/>
                <w:szCs w:val="21"/>
              </w:rPr>
              <w:t>总平面及现场布置</w:t>
            </w:r>
          </w:p>
        </w:tc>
        <w:tc>
          <w:tcPr>
            <w:tcW w:w="8380" w:type="dxa"/>
            <w:vAlign w:val="center"/>
          </w:tcPr>
          <w:p>
            <w:pPr>
              <w:spacing w:line="360" w:lineRule="auto"/>
              <w:rPr>
                <w:rFonts w:hint="eastAsia"/>
                <w:b/>
                <w:bCs/>
                <w:color w:val="auto"/>
                <w:lang w:eastAsia="zh-CN"/>
              </w:rPr>
            </w:pPr>
            <w:r>
              <w:rPr>
                <w:rFonts w:hint="eastAsia"/>
                <w:b/>
                <w:bCs/>
                <w:color w:val="auto"/>
                <w:lang w:eastAsia="zh-CN"/>
              </w:rPr>
              <w:t>一、</w:t>
            </w:r>
            <w:r>
              <w:rPr>
                <w:rFonts w:hint="eastAsia"/>
                <w:b/>
                <w:bCs/>
                <w:color w:val="auto"/>
              </w:rPr>
              <w:t>总平面</w:t>
            </w:r>
            <w:r>
              <w:rPr>
                <w:rFonts w:hint="eastAsia"/>
                <w:b/>
                <w:bCs/>
                <w:color w:val="auto"/>
                <w:lang w:eastAsia="zh-CN"/>
              </w:rPr>
              <w:t>布置：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eastAsia="zh-CN"/>
              </w:rPr>
              <w:t>（</w:t>
            </w:r>
            <w:r>
              <w:rPr>
                <w:rFonts w:hint="eastAsia"/>
                <w:color w:val="auto"/>
                <w:lang w:val="en-US" w:eastAsia="zh-CN"/>
              </w:rPr>
              <w:t>1</w:t>
            </w:r>
            <w:r>
              <w:rPr>
                <w:rFonts w:hint="eastAsia"/>
                <w:color w:val="auto"/>
                <w:lang w:eastAsia="zh-CN"/>
              </w:rPr>
              <w:t>）堤防工程</w:t>
            </w:r>
          </w:p>
          <w:p>
            <w:pPr>
              <w:spacing w:line="360" w:lineRule="auto"/>
              <w:ind w:firstLine="420" w:firstLineChars="200"/>
              <w:rPr>
                <w:color w:val="auto"/>
              </w:rPr>
            </w:pPr>
            <w:r>
              <w:rPr>
                <w:color w:val="auto"/>
              </w:rPr>
              <w:t>1）</w:t>
            </w:r>
            <w:r>
              <w:rPr>
                <w:rFonts w:hint="eastAsia"/>
                <w:color w:val="auto"/>
              </w:rPr>
              <w:t>九台村段</w:t>
            </w:r>
          </w:p>
          <w:p>
            <w:pPr>
              <w:spacing w:line="360" w:lineRule="auto"/>
              <w:ind w:firstLine="420" w:firstLineChars="200"/>
              <w:rPr>
                <w:color w:val="auto"/>
              </w:rPr>
            </w:pPr>
            <w:r>
              <w:rPr>
                <w:rFonts w:hint="eastAsia"/>
                <w:color w:val="auto"/>
              </w:rPr>
              <w:t>该段防洪工程</w:t>
            </w:r>
            <w:r>
              <w:rPr>
                <w:color w:val="auto"/>
              </w:rPr>
              <w:t>上起</w:t>
            </w:r>
            <w:r>
              <w:rPr>
                <w:rFonts w:hint="eastAsia"/>
                <w:color w:val="auto"/>
              </w:rPr>
              <w:t>九台村村委会北侧</w:t>
            </w:r>
            <w:r>
              <w:rPr>
                <w:color w:val="auto"/>
              </w:rPr>
              <w:t>铁索桥上游</w:t>
            </w:r>
            <w:r>
              <w:rPr>
                <w:rFonts w:hint="eastAsia"/>
                <w:color w:val="auto"/>
              </w:rPr>
              <w:t>左岸山洪沟</w:t>
            </w:r>
            <w:r>
              <w:rPr>
                <w:color w:val="auto"/>
              </w:rPr>
              <w:t>，下至下游竹林</w:t>
            </w:r>
            <w:r>
              <w:rPr>
                <w:rFonts w:hint="eastAsia"/>
                <w:color w:val="auto"/>
              </w:rPr>
              <w:t>现状岸坎处</w:t>
            </w:r>
            <w:r>
              <w:rPr>
                <w:color w:val="auto"/>
              </w:rPr>
              <w:t>，工程总长647.76m</w:t>
            </w:r>
            <w:r>
              <w:rPr>
                <w:rFonts w:hint="eastAsia"/>
                <w:color w:val="auto"/>
              </w:rPr>
              <w:t>。其中，</w:t>
            </w:r>
            <w:r>
              <w:rPr>
                <w:color w:val="auto"/>
              </w:rPr>
              <w:t>左岸新建堤防368.76m，左岸堤防加高200m</w:t>
            </w:r>
            <w:r>
              <w:rPr>
                <w:rFonts w:hint="eastAsia"/>
                <w:color w:val="auto"/>
              </w:rPr>
              <w:t>；</w:t>
            </w:r>
            <w:r>
              <w:rPr>
                <w:color w:val="auto"/>
              </w:rPr>
              <w:t>右岸堤防加高79.00m</w:t>
            </w:r>
            <w:r>
              <w:rPr>
                <w:rFonts w:hint="eastAsia"/>
                <w:color w:val="auto"/>
              </w:rPr>
              <w:t>。</w:t>
            </w:r>
          </w:p>
          <w:p>
            <w:pPr>
              <w:spacing w:line="360" w:lineRule="auto"/>
              <w:ind w:firstLine="420" w:firstLineChars="200"/>
              <w:rPr>
                <w:color w:val="auto"/>
              </w:rPr>
            </w:pPr>
            <w:r>
              <w:rPr>
                <w:color w:val="auto"/>
              </w:rPr>
              <w:t>断面型式：</w:t>
            </w:r>
            <w:r>
              <w:rPr>
                <w:rFonts w:hint="eastAsia"/>
                <w:color w:val="auto"/>
              </w:rPr>
              <w:t>左岸L0+000.0—L0+200.0为堤防加高段，采用C20埋石混凝土防浪墙进行加高，将原堤防顶部进行部分拆除，再进行防浪墙修筑，防浪墙总高度1.2m，顶宽0.4m；</w:t>
            </w:r>
          </w:p>
          <w:p>
            <w:pPr>
              <w:spacing w:line="360" w:lineRule="auto"/>
              <w:ind w:firstLine="420" w:firstLineChars="200"/>
              <w:rPr>
                <w:color w:val="auto"/>
              </w:rPr>
            </w:pPr>
            <w:r>
              <w:rPr>
                <w:rFonts w:hint="eastAsia"/>
                <w:color w:val="auto"/>
              </w:rPr>
              <w:t>左岸L0+200.0—L0+568.8段为新建堤防段，断面采用重力仰斜式挡墙断面，挡墙采用C20埋石砼浇筑（埋石率20%），堤顶宽0.6m，临水侧坡比1:0.4，背水侧坡比1:0.1；</w:t>
            </w:r>
          </w:p>
          <w:p>
            <w:pPr>
              <w:spacing w:line="360" w:lineRule="auto"/>
              <w:ind w:firstLine="420" w:firstLineChars="200"/>
              <w:rPr>
                <w:color w:val="auto"/>
              </w:rPr>
            </w:pPr>
            <w:r>
              <w:rPr>
                <w:rFonts w:hint="eastAsia"/>
                <w:color w:val="auto"/>
              </w:rPr>
              <w:t>右岸R0+000.0--R0+079.0段为堤防加高段，在现有堤防顶部加高0.4m，采用C20埋石砼浇筑（埋石率20%）</w:t>
            </w:r>
            <w:r>
              <w:rPr>
                <w:color w:val="auto"/>
              </w:rPr>
              <w:t>。</w:t>
            </w:r>
          </w:p>
          <w:p>
            <w:pPr>
              <w:spacing w:line="240" w:lineRule="auto"/>
              <w:ind w:firstLine="0" w:firstLineChars="0"/>
              <w:jc w:val="center"/>
              <w:rPr>
                <w:color w:val="auto"/>
              </w:rPr>
            </w:pPr>
            <w:r>
              <w:rPr>
                <w:color w:val="auto"/>
              </w:rPr>
              <w:drawing>
                <wp:inline distT="0" distB="0" distL="114300" distR="114300">
                  <wp:extent cx="4238625" cy="2809875"/>
                  <wp:effectExtent l="0" t="0" r="9525" b="9525"/>
                  <wp:docPr id="19" name="图片 9" descr="微信图片_2022032915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微信图片_20220329150008"/>
                          <pic:cNvPicPr>
                            <a:picLocks noChangeAspect="1"/>
                          </pic:cNvPicPr>
                        </pic:nvPicPr>
                        <pic:blipFill>
                          <a:blip r:embed="rId7"/>
                          <a:stretch>
                            <a:fillRect/>
                          </a:stretch>
                        </pic:blipFill>
                        <pic:spPr>
                          <a:xfrm>
                            <a:off x="0" y="0"/>
                            <a:ext cx="4238625" cy="2809875"/>
                          </a:xfrm>
                          <a:prstGeom prst="rect">
                            <a:avLst/>
                          </a:prstGeom>
                          <a:noFill/>
                          <a:ln>
                            <a:noFill/>
                          </a:ln>
                        </pic:spPr>
                      </pic:pic>
                    </a:graphicData>
                  </a:graphic>
                </wp:inline>
              </w:drawing>
            </w:r>
          </w:p>
          <w:p>
            <w:pPr>
              <w:pStyle w:val="6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rPr>
            </w:pPr>
            <w:r>
              <w:rPr>
                <w:rFonts w:hint="eastAsia"/>
                <w:color w:val="auto"/>
                <w:sz w:val="21"/>
                <w:szCs w:val="21"/>
              </w:rPr>
              <w:t>图</w:t>
            </w:r>
            <w:r>
              <w:rPr>
                <w:rFonts w:hint="eastAsia"/>
                <w:color w:val="auto"/>
                <w:sz w:val="21"/>
                <w:szCs w:val="21"/>
                <w:lang w:val="en-US" w:eastAsia="zh-CN"/>
              </w:rPr>
              <w:t>2</w:t>
            </w:r>
            <w:r>
              <w:rPr>
                <w:rFonts w:hint="eastAsia"/>
                <w:color w:val="auto"/>
                <w:sz w:val="21"/>
                <w:szCs w:val="21"/>
              </w:rPr>
              <w:t>-1</w:t>
            </w:r>
            <w:r>
              <w:rPr>
                <w:rFonts w:hint="eastAsia"/>
                <w:color w:val="auto"/>
                <w:sz w:val="21"/>
                <w:szCs w:val="21"/>
                <w:lang w:val="en-US" w:eastAsia="zh-CN"/>
              </w:rPr>
              <w:t xml:space="preserve"> </w:t>
            </w:r>
            <w:r>
              <w:rPr>
                <w:rFonts w:hint="eastAsia"/>
                <w:color w:val="auto"/>
                <w:sz w:val="21"/>
                <w:szCs w:val="21"/>
              </w:rPr>
              <w:t xml:space="preserve"> </w:t>
            </w:r>
            <w:r>
              <w:rPr>
                <w:rFonts w:hint="eastAsia"/>
                <w:color w:val="auto"/>
                <w:sz w:val="21"/>
                <w:szCs w:val="21"/>
                <w:lang w:eastAsia="zh-CN"/>
              </w:rPr>
              <w:t>新建堤防</w:t>
            </w:r>
            <w:r>
              <w:rPr>
                <w:rFonts w:hint="eastAsia"/>
                <w:color w:val="auto"/>
                <w:sz w:val="21"/>
                <w:szCs w:val="21"/>
              </w:rPr>
              <w:t>典型断面</w:t>
            </w:r>
          </w:p>
          <w:p>
            <w:pPr>
              <w:pStyle w:val="2"/>
              <w:rPr>
                <w:color w:val="auto"/>
              </w:rPr>
            </w:pPr>
          </w:p>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color w:val="auto"/>
              </w:rPr>
            </w:pPr>
            <w:r>
              <w:rPr>
                <w:color w:val="auto"/>
              </w:rPr>
              <w:drawing>
                <wp:inline distT="0" distB="0" distL="114300" distR="114300">
                  <wp:extent cx="3752850" cy="2970530"/>
                  <wp:effectExtent l="0" t="0" r="0" b="1270"/>
                  <wp:docPr id="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pic:cNvPicPr>
                            <a:picLocks noChangeAspect="1"/>
                          </pic:cNvPicPr>
                        </pic:nvPicPr>
                        <pic:blipFill>
                          <a:blip r:embed="rId8"/>
                          <a:srcRect b="3447"/>
                          <a:stretch>
                            <a:fillRect/>
                          </a:stretch>
                        </pic:blipFill>
                        <pic:spPr>
                          <a:xfrm>
                            <a:off x="0" y="0"/>
                            <a:ext cx="3752850" cy="2970530"/>
                          </a:xfrm>
                          <a:prstGeom prst="rect">
                            <a:avLst/>
                          </a:prstGeom>
                          <a:noFill/>
                          <a:ln>
                            <a:noFill/>
                          </a:ln>
                        </pic:spPr>
                      </pic:pic>
                    </a:graphicData>
                  </a:graphic>
                </wp:inline>
              </w:drawing>
            </w:r>
          </w:p>
          <w:p>
            <w:pPr>
              <w:pStyle w:val="68"/>
              <w:keepNext w:val="0"/>
              <w:keepLines w:val="0"/>
              <w:pageBreakBefore w:val="0"/>
              <w:widowControl w:val="0"/>
              <w:kinsoku/>
              <w:wordWrap/>
              <w:overflowPunct/>
              <w:topLinePunct w:val="0"/>
              <w:autoSpaceDE/>
              <w:autoSpaceDN/>
              <w:bidi w:val="0"/>
              <w:adjustRightInd/>
              <w:snapToGrid/>
              <w:spacing w:line="240" w:lineRule="auto"/>
              <w:textAlignment w:val="auto"/>
              <w:rPr>
                <w:color w:val="auto"/>
                <w:sz w:val="21"/>
                <w:szCs w:val="21"/>
              </w:rPr>
            </w:pPr>
            <w:r>
              <w:rPr>
                <w:rFonts w:hint="eastAsia"/>
                <w:color w:val="auto"/>
                <w:sz w:val="21"/>
                <w:szCs w:val="21"/>
              </w:rPr>
              <w:t>图</w:t>
            </w:r>
            <w:r>
              <w:rPr>
                <w:rFonts w:hint="eastAsia"/>
                <w:color w:val="auto"/>
                <w:sz w:val="21"/>
                <w:szCs w:val="21"/>
                <w:lang w:val="en-US" w:eastAsia="zh-CN"/>
              </w:rPr>
              <w:t>2-2</w:t>
            </w: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岚河九台村段L0+000.0~L0+200.0堤防加高设计断面</w:t>
            </w:r>
          </w:p>
          <w:p>
            <w:pPr>
              <w:spacing w:line="360" w:lineRule="auto"/>
              <w:ind w:firstLine="420" w:firstLineChars="200"/>
              <w:rPr>
                <w:color w:val="auto"/>
              </w:rPr>
            </w:pPr>
            <w:r>
              <w:rPr>
                <w:color w:val="auto"/>
              </w:rPr>
              <w:t>2）武学村二组瓦西沟口右岸段</w:t>
            </w:r>
          </w:p>
          <w:p>
            <w:pPr>
              <w:spacing w:line="360" w:lineRule="auto"/>
              <w:ind w:firstLine="420" w:firstLineChars="200"/>
              <w:rPr>
                <w:color w:val="auto"/>
              </w:rPr>
            </w:pPr>
            <w:r>
              <w:rPr>
                <w:color w:val="auto"/>
              </w:rPr>
              <w:t>该段防洪工程为水毁新建，位于岚河右岸，新建堤防长度40.00m。</w:t>
            </w:r>
          </w:p>
          <w:p>
            <w:pPr>
              <w:spacing w:line="360" w:lineRule="auto"/>
              <w:ind w:firstLine="420" w:firstLineChars="200"/>
              <w:rPr>
                <w:color w:val="auto"/>
              </w:rPr>
            </w:pPr>
            <w:r>
              <w:rPr>
                <w:color w:val="auto"/>
              </w:rPr>
              <w:t>断面型式：与现状堤防保持一致，为直立式重力挡墙，采用M7.5浆砌石砌筑。</w:t>
            </w:r>
          </w:p>
          <w:p>
            <w:pPr>
              <w:pStyle w:val="2"/>
              <w:spacing w:after="0" w:line="240" w:lineRule="auto"/>
              <w:ind w:firstLine="0" w:firstLineChars="0"/>
              <w:jc w:val="center"/>
              <w:rPr>
                <w:color w:val="auto"/>
              </w:rPr>
            </w:pPr>
            <w:r>
              <w:rPr>
                <w:color w:val="auto"/>
              </w:rPr>
              <w:drawing>
                <wp:inline distT="0" distB="0" distL="114300" distR="114300">
                  <wp:extent cx="4572000" cy="2876550"/>
                  <wp:effectExtent l="0" t="0" r="0" b="0"/>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pic:cNvPicPr>
                        </pic:nvPicPr>
                        <pic:blipFill>
                          <a:blip r:embed="rId9"/>
                          <a:stretch>
                            <a:fillRect/>
                          </a:stretch>
                        </pic:blipFill>
                        <pic:spPr>
                          <a:xfrm>
                            <a:off x="0" y="0"/>
                            <a:ext cx="4572000" cy="2876550"/>
                          </a:xfrm>
                          <a:prstGeom prst="rect">
                            <a:avLst/>
                          </a:prstGeom>
                          <a:noFill/>
                          <a:ln>
                            <a:noFill/>
                          </a:ln>
                        </pic:spPr>
                      </pic:pic>
                    </a:graphicData>
                  </a:graphic>
                </wp:inline>
              </w:drawing>
            </w:r>
          </w:p>
          <w:p>
            <w:pPr>
              <w:pStyle w:val="6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rPr>
            </w:pPr>
            <w:r>
              <w:rPr>
                <w:rFonts w:hint="eastAsia"/>
                <w:color w:val="auto"/>
                <w:sz w:val="21"/>
                <w:szCs w:val="21"/>
              </w:rPr>
              <w:t>图</w:t>
            </w:r>
            <w:r>
              <w:rPr>
                <w:rFonts w:hint="eastAsia"/>
                <w:color w:val="auto"/>
                <w:sz w:val="21"/>
                <w:szCs w:val="21"/>
                <w:lang w:val="en-US" w:eastAsia="zh-CN"/>
              </w:rPr>
              <w:t>2-3</w:t>
            </w:r>
            <w:r>
              <w:rPr>
                <w:rFonts w:hint="eastAsia"/>
                <w:color w:val="auto"/>
                <w:sz w:val="21"/>
                <w:szCs w:val="21"/>
              </w:rPr>
              <w:t xml:space="preserve"> 武学村二组瓦溪沟口右岸段水毁新建断面</w:t>
            </w:r>
          </w:p>
          <w:p>
            <w:pPr>
              <w:spacing w:line="360" w:lineRule="auto"/>
              <w:ind w:firstLine="420" w:firstLineChars="200"/>
              <w:rPr>
                <w:color w:val="auto"/>
              </w:rPr>
            </w:pPr>
            <w:r>
              <w:rPr>
                <w:color w:val="auto"/>
              </w:rPr>
              <w:t>3）柏杨林村三组石滚坝右岸段</w:t>
            </w:r>
          </w:p>
          <w:p>
            <w:pPr>
              <w:spacing w:line="360" w:lineRule="auto"/>
              <w:ind w:firstLine="420" w:firstLineChars="200"/>
              <w:rPr>
                <w:color w:val="auto"/>
              </w:rPr>
            </w:pPr>
            <w:r>
              <w:rPr>
                <w:color w:val="auto"/>
              </w:rPr>
              <w:t>该段防洪工程位于岚河右岸，新建堤防79.52m。</w:t>
            </w:r>
          </w:p>
          <w:p>
            <w:pPr>
              <w:spacing w:line="360" w:lineRule="auto"/>
              <w:ind w:firstLine="420" w:firstLineChars="200"/>
              <w:rPr>
                <w:color w:val="auto"/>
              </w:rPr>
            </w:pPr>
            <w:r>
              <w:rPr>
                <w:color w:val="auto"/>
              </w:rPr>
              <w:t>断面型式：仰斜式挡墙，采用C20埋石混凝土（埋石率20%）浇筑。</w:t>
            </w:r>
            <w:r>
              <w:rPr>
                <w:rFonts w:hint="eastAsia"/>
                <w:color w:val="auto"/>
                <w:lang w:eastAsia="zh-CN"/>
              </w:rPr>
              <w:t>新建堤防</w:t>
            </w:r>
            <w:r>
              <w:rPr>
                <w:rFonts w:hint="eastAsia"/>
                <w:color w:val="auto"/>
              </w:rPr>
              <w:t>典型断面</w:t>
            </w:r>
            <w:r>
              <w:rPr>
                <w:rFonts w:hint="eastAsia"/>
                <w:color w:val="auto"/>
                <w:lang w:eastAsia="zh-CN"/>
              </w:rPr>
              <w:t>见</w:t>
            </w:r>
            <w:r>
              <w:rPr>
                <w:rFonts w:hint="eastAsia"/>
                <w:color w:val="auto"/>
              </w:rPr>
              <w:t>图5-1</w:t>
            </w:r>
            <w:r>
              <w:rPr>
                <w:rFonts w:hint="eastAsia"/>
                <w:color w:val="auto"/>
                <w:lang w:eastAsia="zh-CN"/>
              </w:rPr>
              <w:t>。</w:t>
            </w:r>
          </w:p>
          <w:p>
            <w:pPr>
              <w:spacing w:line="360" w:lineRule="auto"/>
              <w:ind w:firstLine="420" w:firstLineChars="200"/>
              <w:rPr>
                <w:color w:val="auto"/>
              </w:rPr>
            </w:pPr>
            <w:r>
              <w:rPr>
                <w:color w:val="auto"/>
              </w:rPr>
              <w:t>4）桃园村二组四方地河坝左岸段</w:t>
            </w:r>
          </w:p>
          <w:p>
            <w:pPr>
              <w:spacing w:line="360" w:lineRule="auto"/>
              <w:ind w:firstLine="420" w:firstLineChars="200"/>
              <w:rPr>
                <w:color w:val="auto"/>
              </w:rPr>
            </w:pPr>
            <w:r>
              <w:rPr>
                <w:color w:val="auto"/>
              </w:rPr>
              <w:t>该段防洪工程位于岚河左岸，新建堤防157.29m，堤防加高31.31m。</w:t>
            </w:r>
          </w:p>
          <w:p>
            <w:pPr>
              <w:spacing w:line="360" w:lineRule="auto"/>
              <w:ind w:firstLine="420" w:firstLineChars="200"/>
              <w:rPr>
                <w:color w:val="auto"/>
              </w:rPr>
            </w:pPr>
            <w:r>
              <w:rPr>
                <w:color w:val="auto"/>
              </w:rPr>
              <w:t>断面型式：仰斜式挡墙，采用C20埋石混凝土（埋石率20%）浇筑。</w:t>
            </w:r>
            <w:r>
              <w:rPr>
                <w:rFonts w:hint="eastAsia"/>
                <w:color w:val="auto"/>
                <w:lang w:eastAsia="zh-CN"/>
              </w:rPr>
              <w:t>堤防</w:t>
            </w:r>
            <w:r>
              <w:rPr>
                <w:rFonts w:hint="eastAsia"/>
                <w:color w:val="auto"/>
              </w:rPr>
              <w:t>典型断面</w:t>
            </w:r>
            <w:r>
              <w:rPr>
                <w:rFonts w:hint="eastAsia"/>
                <w:color w:val="auto"/>
                <w:lang w:eastAsia="zh-CN"/>
              </w:rPr>
              <w:t>见</w:t>
            </w:r>
            <w:r>
              <w:rPr>
                <w:rFonts w:hint="eastAsia"/>
                <w:color w:val="auto"/>
              </w:rPr>
              <w:t>图5-1</w:t>
            </w:r>
            <w:r>
              <w:rPr>
                <w:rFonts w:hint="eastAsia"/>
                <w:color w:val="auto"/>
                <w:lang w:eastAsia="zh-CN"/>
              </w:rPr>
              <w:t>。</w:t>
            </w:r>
          </w:p>
          <w:p>
            <w:pPr>
              <w:spacing w:line="360" w:lineRule="auto"/>
              <w:ind w:firstLine="420" w:firstLineChars="200"/>
              <w:rPr>
                <w:color w:val="auto"/>
              </w:rPr>
            </w:pPr>
            <w:r>
              <w:rPr>
                <w:color w:val="auto"/>
              </w:rPr>
              <w:t>5）西河村一组猕猴桃园区左岸段</w:t>
            </w:r>
          </w:p>
          <w:p>
            <w:pPr>
              <w:spacing w:line="360" w:lineRule="auto"/>
              <w:ind w:firstLine="420" w:firstLineChars="200"/>
              <w:rPr>
                <w:color w:val="auto"/>
              </w:rPr>
            </w:pPr>
            <w:r>
              <w:rPr>
                <w:color w:val="auto"/>
              </w:rPr>
              <w:t>该段防洪工程位于岚河左岸，起始于交通桥下游，终止于下游堤防完好处，工程总长200.0m，其中，新建堤防20m，堤防加高170.0m，水毁新建堤防10.0m。</w:t>
            </w:r>
          </w:p>
          <w:p>
            <w:pPr>
              <w:spacing w:line="360" w:lineRule="auto"/>
              <w:ind w:firstLine="420" w:firstLineChars="200"/>
              <w:rPr>
                <w:color w:val="auto"/>
              </w:rPr>
            </w:pPr>
            <w:r>
              <w:rPr>
                <w:color w:val="auto"/>
              </w:rPr>
              <w:t>断面型式：新建堤防段采用仰斜式挡墙，M7.5浆砌石浇筑</w:t>
            </w:r>
            <w:r>
              <w:rPr>
                <w:rFonts w:hint="eastAsia"/>
                <w:color w:val="auto"/>
                <w:lang w:eastAsia="zh-CN"/>
              </w:rPr>
              <w:t>，堤防</w:t>
            </w:r>
            <w:r>
              <w:rPr>
                <w:rFonts w:hint="eastAsia"/>
                <w:color w:val="auto"/>
              </w:rPr>
              <w:t>典型断面</w:t>
            </w:r>
            <w:r>
              <w:rPr>
                <w:rFonts w:hint="eastAsia"/>
                <w:color w:val="auto"/>
                <w:lang w:eastAsia="zh-CN"/>
              </w:rPr>
              <w:t>见</w:t>
            </w:r>
            <w:r>
              <w:rPr>
                <w:rFonts w:hint="eastAsia"/>
                <w:color w:val="auto"/>
              </w:rPr>
              <w:t>图5-1</w:t>
            </w:r>
            <w:r>
              <w:rPr>
                <w:color w:val="auto"/>
              </w:rPr>
              <w:t>；堤防加高段采用C20埋石混凝土（埋石率20%）浇筑</w:t>
            </w:r>
            <w:r>
              <w:rPr>
                <w:rFonts w:hint="eastAsia"/>
                <w:color w:val="auto"/>
              </w:rPr>
              <w:t>，将原堤防顶部30cm厚度进行拆除，再修筑防浪墙，防浪墙高1.1m，厚度0.3m</w:t>
            </w:r>
            <w:r>
              <w:rPr>
                <w:color w:val="auto"/>
              </w:rPr>
              <w:t>；水毁新建段断面形式与现状相同，采用重力直立式挡墙，M7.5浆砌石浇筑。</w:t>
            </w:r>
          </w:p>
          <w:p>
            <w:pPr>
              <w:pStyle w:val="2"/>
              <w:spacing w:line="240" w:lineRule="auto"/>
              <w:ind w:firstLine="0" w:firstLineChars="0"/>
              <w:jc w:val="center"/>
              <w:rPr>
                <w:color w:val="auto"/>
              </w:rPr>
            </w:pPr>
            <w:r>
              <w:rPr>
                <w:color w:val="auto"/>
              </w:rPr>
              <w:drawing>
                <wp:inline distT="0" distB="0" distL="114300" distR="114300">
                  <wp:extent cx="2705100" cy="3600450"/>
                  <wp:effectExtent l="0" t="0" r="0" b="0"/>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10"/>
                          <a:stretch>
                            <a:fillRect/>
                          </a:stretch>
                        </pic:blipFill>
                        <pic:spPr>
                          <a:xfrm>
                            <a:off x="0" y="0"/>
                            <a:ext cx="2705100" cy="3600450"/>
                          </a:xfrm>
                          <a:prstGeom prst="rect">
                            <a:avLst/>
                          </a:prstGeom>
                          <a:noFill/>
                          <a:ln>
                            <a:noFill/>
                          </a:ln>
                        </pic:spPr>
                      </pic:pic>
                    </a:graphicData>
                  </a:graphic>
                </wp:inline>
              </w:drawing>
            </w:r>
          </w:p>
          <w:p>
            <w:pPr>
              <w:pStyle w:val="68"/>
              <w:keepNext w:val="0"/>
              <w:keepLines w:val="0"/>
              <w:pageBreakBefore w:val="0"/>
              <w:widowControl w:val="0"/>
              <w:kinsoku/>
              <w:wordWrap/>
              <w:overflowPunct/>
              <w:topLinePunct w:val="0"/>
              <w:autoSpaceDE/>
              <w:autoSpaceDN/>
              <w:bidi w:val="0"/>
              <w:adjustRightInd/>
              <w:snapToGrid/>
              <w:spacing w:line="240" w:lineRule="auto"/>
              <w:textAlignment w:val="auto"/>
              <w:rPr>
                <w:color w:val="auto"/>
                <w:sz w:val="21"/>
                <w:szCs w:val="21"/>
              </w:rPr>
            </w:pPr>
            <w:r>
              <w:rPr>
                <w:rFonts w:hint="eastAsia"/>
                <w:color w:val="auto"/>
                <w:sz w:val="21"/>
                <w:szCs w:val="21"/>
              </w:rPr>
              <w:t>图</w:t>
            </w:r>
            <w:r>
              <w:rPr>
                <w:rFonts w:hint="eastAsia"/>
                <w:color w:val="auto"/>
                <w:sz w:val="21"/>
                <w:szCs w:val="21"/>
                <w:lang w:val="en-US" w:eastAsia="zh-CN"/>
              </w:rPr>
              <w:t>2-4</w:t>
            </w:r>
            <w:r>
              <w:rPr>
                <w:rFonts w:hint="eastAsia"/>
                <w:color w:val="auto"/>
                <w:sz w:val="21"/>
                <w:szCs w:val="21"/>
              </w:rPr>
              <w:t xml:space="preserve"> 西河村一组猕猴桃园L0+033.0~L0+203.0段堤防加高设计断面</w:t>
            </w:r>
          </w:p>
          <w:p>
            <w:pPr>
              <w:pStyle w:val="2"/>
              <w:spacing w:after="0" w:line="240" w:lineRule="auto"/>
              <w:ind w:firstLine="0" w:firstLineChars="0"/>
              <w:jc w:val="center"/>
              <w:rPr>
                <w:color w:val="auto"/>
              </w:rPr>
            </w:pPr>
            <w:r>
              <w:rPr>
                <w:color w:val="auto"/>
              </w:rPr>
              <w:drawing>
                <wp:inline distT="0" distB="0" distL="114300" distR="114300">
                  <wp:extent cx="5038725" cy="2543175"/>
                  <wp:effectExtent l="0" t="0" r="9525" b="9525"/>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pic:cNvPicPr>
                        </pic:nvPicPr>
                        <pic:blipFill>
                          <a:blip r:embed="rId11"/>
                          <a:stretch>
                            <a:fillRect/>
                          </a:stretch>
                        </pic:blipFill>
                        <pic:spPr>
                          <a:xfrm>
                            <a:off x="0" y="0"/>
                            <a:ext cx="5038725" cy="2543175"/>
                          </a:xfrm>
                          <a:prstGeom prst="rect">
                            <a:avLst/>
                          </a:prstGeom>
                          <a:noFill/>
                          <a:ln>
                            <a:noFill/>
                          </a:ln>
                        </pic:spPr>
                      </pic:pic>
                    </a:graphicData>
                  </a:graphic>
                </wp:inline>
              </w:drawing>
            </w:r>
          </w:p>
          <w:p>
            <w:pPr>
              <w:pStyle w:val="68"/>
              <w:rPr>
                <w:color w:val="auto"/>
                <w:sz w:val="21"/>
                <w:szCs w:val="21"/>
              </w:rPr>
            </w:pPr>
            <w:r>
              <w:rPr>
                <w:rFonts w:hint="eastAsia"/>
                <w:color w:val="auto"/>
                <w:sz w:val="21"/>
                <w:szCs w:val="21"/>
              </w:rPr>
              <w:t>图</w:t>
            </w:r>
            <w:r>
              <w:rPr>
                <w:rFonts w:hint="eastAsia"/>
                <w:color w:val="auto"/>
                <w:sz w:val="21"/>
                <w:szCs w:val="21"/>
                <w:lang w:val="en-US" w:eastAsia="zh-CN"/>
              </w:rPr>
              <w:t xml:space="preserve">2-6 </w:t>
            </w:r>
            <w:r>
              <w:rPr>
                <w:rFonts w:hint="eastAsia"/>
                <w:color w:val="auto"/>
                <w:sz w:val="21"/>
                <w:szCs w:val="21"/>
              </w:rPr>
              <w:t xml:space="preserve"> 西河村一组猕猴桃园区左岸段水毁新建断面</w:t>
            </w:r>
          </w:p>
          <w:p>
            <w:pPr>
              <w:spacing w:line="360" w:lineRule="auto"/>
              <w:ind w:firstLine="420" w:firstLineChars="200"/>
              <w:rPr>
                <w:color w:val="auto"/>
              </w:rPr>
            </w:pPr>
            <w:r>
              <w:rPr>
                <w:color w:val="auto"/>
              </w:rPr>
              <w:t>6）西河村二组右岸段</w:t>
            </w:r>
          </w:p>
          <w:p>
            <w:pPr>
              <w:spacing w:line="360" w:lineRule="auto"/>
              <w:ind w:firstLine="420" w:firstLineChars="200"/>
              <w:rPr>
                <w:color w:val="auto"/>
              </w:rPr>
            </w:pPr>
            <w:r>
              <w:rPr>
                <w:color w:val="auto"/>
              </w:rPr>
              <w:t>该段防洪工程位于西河右岸，分为水毁新建护岸和堤脚加固，工程总长125.5m，其中，水毁新建护岸85.5m，堤脚加固40.0m。</w:t>
            </w:r>
          </w:p>
          <w:p>
            <w:pPr>
              <w:spacing w:line="360" w:lineRule="auto"/>
              <w:ind w:firstLine="420" w:firstLineChars="200"/>
              <w:rPr>
                <w:color w:val="auto"/>
              </w:rPr>
            </w:pPr>
            <w:r>
              <w:rPr>
                <w:color w:val="auto"/>
              </w:rPr>
              <w:t>断面型式：与现状堤防保持一致，为重力直立式挡墙，采用M7.5浆砌石砌筑。</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rPr>
            </w:pPr>
            <w:r>
              <w:rPr>
                <w:color w:val="auto"/>
              </w:rPr>
              <w:drawing>
                <wp:inline distT="0" distB="0" distL="114300" distR="114300">
                  <wp:extent cx="5191760" cy="2225675"/>
                  <wp:effectExtent l="0" t="0" r="8890" b="3175"/>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12"/>
                          <a:stretch>
                            <a:fillRect/>
                          </a:stretch>
                        </pic:blipFill>
                        <pic:spPr>
                          <a:xfrm>
                            <a:off x="0" y="0"/>
                            <a:ext cx="5191760" cy="2225675"/>
                          </a:xfrm>
                          <a:prstGeom prst="rect">
                            <a:avLst/>
                          </a:prstGeom>
                          <a:noFill/>
                          <a:ln>
                            <a:noFill/>
                          </a:ln>
                        </pic:spPr>
                      </pic:pic>
                    </a:graphicData>
                  </a:graphic>
                </wp:inline>
              </w:drawing>
            </w:r>
          </w:p>
          <w:p>
            <w:pPr>
              <w:pStyle w:val="69"/>
              <w:rPr>
                <w:color w:val="auto"/>
              </w:rPr>
            </w:pPr>
            <w:r>
              <w:rPr>
                <w:rFonts w:hint="eastAsia"/>
                <w:color w:val="auto"/>
              </w:rPr>
              <w:t>图</w:t>
            </w:r>
            <w:r>
              <w:rPr>
                <w:rFonts w:hint="eastAsia"/>
                <w:color w:val="auto"/>
                <w:lang w:val="en-US" w:eastAsia="zh-CN"/>
              </w:rPr>
              <w:t>2-7</w:t>
            </w:r>
            <w:r>
              <w:rPr>
                <w:rFonts w:hint="eastAsia"/>
                <w:color w:val="auto"/>
              </w:rPr>
              <w:t xml:space="preserve"> 西河村二组右岸段水毁新建护岸断面</w:t>
            </w:r>
          </w:p>
          <w:p>
            <w:pPr>
              <w:spacing w:line="360" w:lineRule="auto"/>
              <w:ind w:firstLine="420" w:firstLineChars="200"/>
              <w:rPr>
                <w:color w:val="auto"/>
              </w:rPr>
            </w:pPr>
            <w:r>
              <w:rPr>
                <w:color w:val="auto"/>
              </w:rPr>
              <w:t>7）龙安村龙安电站左岸段</w:t>
            </w:r>
          </w:p>
          <w:p>
            <w:pPr>
              <w:spacing w:line="360" w:lineRule="auto"/>
              <w:ind w:firstLine="420" w:firstLineChars="200"/>
              <w:rPr>
                <w:color w:val="auto"/>
              </w:rPr>
            </w:pPr>
            <w:r>
              <w:rPr>
                <w:color w:val="auto"/>
              </w:rPr>
              <w:t>该段防洪工程起始于上游现状堤防处，终止于下游现状堤防处，新建堤防127.0m，堤脚加固125.00m。</w:t>
            </w:r>
          </w:p>
          <w:p>
            <w:pPr>
              <w:spacing w:line="360" w:lineRule="auto"/>
              <w:ind w:firstLine="420" w:firstLineChars="200"/>
              <w:rPr>
                <w:color w:val="auto"/>
              </w:rPr>
            </w:pPr>
            <w:r>
              <w:rPr>
                <w:color w:val="auto"/>
              </w:rPr>
              <w:t>断面型式：仰斜式挡墙，采用C20埋石混凝土（埋石率20%）浇筑</w:t>
            </w:r>
            <w:r>
              <w:rPr>
                <w:rFonts w:hint="eastAsia"/>
                <w:color w:val="auto"/>
                <w:lang w:eastAsia="zh-CN"/>
              </w:rPr>
              <w:t>，堤防</w:t>
            </w:r>
            <w:r>
              <w:rPr>
                <w:rFonts w:hint="eastAsia"/>
                <w:color w:val="auto"/>
              </w:rPr>
              <w:t>典型断面</w:t>
            </w:r>
            <w:r>
              <w:rPr>
                <w:rFonts w:hint="eastAsia"/>
                <w:color w:val="auto"/>
                <w:lang w:eastAsia="zh-CN"/>
              </w:rPr>
              <w:t>见</w:t>
            </w:r>
            <w:r>
              <w:rPr>
                <w:rFonts w:hint="eastAsia"/>
                <w:color w:val="auto"/>
              </w:rPr>
              <w:t>图5-1</w:t>
            </w:r>
            <w:r>
              <w:rPr>
                <w:rFonts w:hint="eastAsia"/>
                <w:color w:val="auto"/>
                <w:lang w:eastAsia="zh-CN"/>
              </w:rPr>
              <w:t>。</w:t>
            </w:r>
          </w:p>
          <w:p>
            <w:pPr>
              <w:spacing w:line="360" w:lineRule="auto"/>
              <w:ind w:firstLine="420" w:firstLineChars="200"/>
              <w:rPr>
                <w:color w:val="auto"/>
              </w:rPr>
            </w:pPr>
            <w:r>
              <w:rPr>
                <w:color w:val="auto"/>
              </w:rPr>
              <w:t>（8）大盘河新生村左岸段</w:t>
            </w:r>
          </w:p>
          <w:p>
            <w:pPr>
              <w:spacing w:line="360" w:lineRule="auto"/>
              <w:ind w:firstLine="420" w:firstLineChars="200"/>
              <w:rPr>
                <w:color w:val="auto"/>
              </w:rPr>
            </w:pPr>
            <w:r>
              <w:rPr>
                <w:color w:val="auto"/>
              </w:rPr>
              <w:t>该段防洪工程起始于上游现状路堤，终止于下游现状路堤，工程总长237.6m，其中，新建堤防107.5m，新建护岸130.1m。</w:t>
            </w:r>
          </w:p>
          <w:p>
            <w:pPr>
              <w:spacing w:line="360" w:lineRule="auto"/>
              <w:ind w:firstLine="420" w:firstLineChars="200"/>
              <w:rPr>
                <w:color w:val="auto"/>
              </w:rPr>
            </w:pPr>
            <w:r>
              <w:rPr>
                <w:color w:val="auto"/>
              </w:rPr>
              <w:t>断面型式：新建堤防采用仰斜式挡墙，C20埋石混凝土（埋石率20%）浇筑</w:t>
            </w:r>
            <w:r>
              <w:rPr>
                <w:rFonts w:hint="eastAsia"/>
                <w:color w:val="auto"/>
                <w:lang w:eastAsia="zh-CN"/>
              </w:rPr>
              <w:t>，堤防</w:t>
            </w:r>
            <w:r>
              <w:rPr>
                <w:rFonts w:hint="eastAsia"/>
                <w:color w:val="auto"/>
              </w:rPr>
              <w:t>典型断面</w:t>
            </w:r>
            <w:r>
              <w:rPr>
                <w:rFonts w:hint="eastAsia"/>
                <w:color w:val="auto"/>
                <w:lang w:eastAsia="zh-CN"/>
              </w:rPr>
              <w:t>见</w:t>
            </w:r>
            <w:r>
              <w:rPr>
                <w:rFonts w:hint="eastAsia"/>
                <w:color w:val="auto"/>
              </w:rPr>
              <w:t>图5-1</w:t>
            </w:r>
            <w:r>
              <w:rPr>
                <w:rFonts w:hint="eastAsia"/>
                <w:color w:val="auto"/>
                <w:lang w:eastAsia="zh-CN"/>
              </w:rPr>
              <w:t>。</w:t>
            </w:r>
            <w:r>
              <w:rPr>
                <w:color w:val="auto"/>
              </w:rPr>
              <w:t>新建护岸采用重力仰斜式挡墙断面，护岸采用M7.5浆砌石砌筑。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color w:val="auto"/>
              </w:rPr>
            </w:pPr>
            <w:r>
              <w:rPr>
                <w:rFonts w:hint="eastAsia"/>
                <w:color w:val="auto"/>
                <w:lang w:val="en-US" w:eastAsia="zh-CN"/>
              </w:rPr>
              <w:t>（2）附属</w:t>
            </w:r>
            <w:r>
              <w:rPr>
                <w:color w:val="auto"/>
              </w:rPr>
              <w:t>工程</w:t>
            </w:r>
          </w:p>
          <w:p>
            <w:pPr>
              <w:spacing w:line="360" w:lineRule="auto"/>
              <w:ind w:firstLine="420" w:firstLineChars="200"/>
              <w:rPr>
                <w:rFonts w:hint="eastAsia"/>
                <w:color w:val="auto"/>
                <w:lang w:val="en-US" w:eastAsia="zh-CN"/>
              </w:rPr>
            </w:pPr>
            <w:r>
              <w:rPr>
                <w:rFonts w:hint="eastAsia"/>
                <w:color w:val="auto"/>
                <w:lang w:val="en-US" w:eastAsia="zh-CN"/>
              </w:rPr>
              <w:t>1</w:t>
            </w:r>
            <w:r>
              <w:rPr>
                <w:rFonts w:hint="eastAsia"/>
                <w:color w:val="auto"/>
                <w:lang w:eastAsia="zh-CN"/>
              </w:rPr>
              <w:t>）</w:t>
            </w:r>
            <w:r>
              <w:rPr>
                <w:rFonts w:hint="eastAsia"/>
                <w:color w:val="auto"/>
                <w:lang w:val="en-US" w:eastAsia="zh-CN"/>
              </w:rPr>
              <w:t>下河踏步</w:t>
            </w:r>
          </w:p>
          <w:p>
            <w:pPr>
              <w:spacing w:line="360" w:lineRule="auto"/>
              <w:ind w:firstLine="420" w:firstLineChars="200"/>
              <w:rPr>
                <w:rFonts w:hint="eastAsia"/>
                <w:color w:val="auto"/>
              </w:rPr>
            </w:pPr>
            <w:r>
              <w:rPr>
                <w:rFonts w:hint="eastAsia"/>
                <w:color w:val="auto"/>
                <w:lang w:eastAsia="zh-CN"/>
              </w:rPr>
              <w:t>本项目</w:t>
            </w:r>
            <w:r>
              <w:rPr>
                <w:rFonts w:hint="eastAsia"/>
                <w:color w:val="auto"/>
              </w:rPr>
              <w:t>共设置了4处下河踏步，其中九台村段新建下河踏步2处，龙安村河湾电站段新建下河踏步1处，石门镇新生村段新建下河踏步1处，踏步采用C20埋石混凝土（埋石率20%）浇筑，踏步净宽1.5m，台阶尺寸30cm×15cm。</w:t>
            </w:r>
          </w:p>
          <w:p>
            <w:pPr>
              <w:spacing w:line="360" w:lineRule="auto"/>
              <w:ind w:firstLine="420" w:firstLineChars="200"/>
              <w:rPr>
                <w:rFonts w:hint="eastAsia"/>
                <w:color w:val="auto"/>
                <w:lang w:eastAsia="zh-CN"/>
              </w:rPr>
            </w:pPr>
            <w:r>
              <w:rPr>
                <w:rFonts w:hint="eastAsia"/>
                <w:color w:val="auto"/>
                <w:lang w:val="en-US" w:eastAsia="zh-CN"/>
              </w:rPr>
              <w:t>2</w:t>
            </w:r>
            <w:r>
              <w:rPr>
                <w:rFonts w:hint="eastAsia"/>
                <w:color w:val="auto"/>
                <w:lang w:eastAsia="zh-CN"/>
              </w:rPr>
              <w:t>）堤脚加固</w:t>
            </w:r>
          </w:p>
          <w:p>
            <w:pPr>
              <w:spacing w:line="360" w:lineRule="auto"/>
              <w:ind w:firstLine="420" w:firstLineChars="200"/>
              <w:rPr>
                <w:rFonts w:hint="eastAsia"/>
                <w:color w:val="auto"/>
                <w:lang w:eastAsia="zh-CN"/>
              </w:rPr>
            </w:pPr>
            <w:r>
              <w:rPr>
                <w:rFonts w:hint="eastAsia"/>
                <w:color w:val="auto"/>
              </w:rPr>
              <w:t>堤脚加固段位于西河村二组右岸段和龙安村龙安电站左岸段</w:t>
            </w:r>
            <w:r>
              <w:rPr>
                <w:rFonts w:hint="eastAsia"/>
                <w:color w:val="auto"/>
                <w:lang w:eastAsia="zh-CN"/>
              </w:rPr>
              <w:t>。</w:t>
            </w:r>
          </w:p>
          <w:p>
            <w:pPr>
              <w:spacing w:line="360" w:lineRule="auto"/>
              <w:ind w:firstLine="420" w:firstLineChars="200"/>
              <w:rPr>
                <w:rFonts w:hint="eastAsia"/>
                <w:color w:val="auto"/>
              </w:rPr>
            </w:pPr>
            <w:r>
              <w:rPr>
                <w:rFonts w:hint="eastAsia"/>
                <w:color w:val="auto"/>
              </w:rPr>
              <w:t>西河村二组右岸段堤脚加固断面形式采用扣墙进行加固，采用C20埋石混凝土进行浇筑（埋石率20%），加固长度合计40m。堤脚加固断面如图5-9。</w:t>
            </w:r>
          </w:p>
          <w:p>
            <w:pPr>
              <w:spacing w:line="240" w:lineRule="auto"/>
              <w:ind w:firstLine="0" w:firstLineChars="0"/>
              <w:jc w:val="center"/>
              <w:rPr>
                <w:color w:val="auto"/>
              </w:rPr>
            </w:pPr>
            <w:r>
              <w:rPr>
                <w:color w:val="auto"/>
              </w:rPr>
              <w:drawing>
                <wp:inline distT="0" distB="0" distL="114300" distR="114300">
                  <wp:extent cx="3390900" cy="2924175"/>
                  <wp:effectExtent l="0" t="0" r="0" b="9525"/>
                  <wp:docPr id="2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
                          <pic:cNvPicPr>
                            <a:picLocks noChangeAspect="1"/>
                          </pic:cNvPicPr>
                        </pic:nvPicPr>
                        <pic:blipFill>
                          <a:blip r:embed="rId13"/>
                          <a:stretch>
                            <a:fillRect/>
                          </a:stretch>
                        </pic:blipFill>
                        <pic:spPr>
                          <a:xfrm>
                            <a:off x="0" y="0"/>
                            <a:ext cx="3390900" cy="2924175"/>
                          </a:xfrm>
                          <a:prstGeom prst="rect">
                            <a:avLst/>
                          </a:prstGeom>
                          <a:noFill/>
                          <a:ln>
                            <a:noFill/>
                          </a:ln>
                        </pic:spPr>
                      </pic:pic>
                    </a:graphicData>
                  </a:graphic>
                </wp:inline>
              </w:drawing>
            </w:r>
          </w:p>
          <w:p>
            <w:pPr>
              <w:pStyle w:val="68"/>
              <w:rPr>
                <w:color w:val="auto"/>
                <w:sz w:val="21"/>
                <w:szCs w:val="21"/>
              </w:rPr>
            </w:pPr>
            <w:r>
              <w:rPr>
                <w:rFonts w:hint="eastAsia"/>
                <w:color w:val="auto"/>
                <w:sz w:val="21"/>
                <w:szCs w:val="21"/>
              </w:rPr>
              <w:t>图</w:t>
            </w:r>
            <w:r>
              <w:rPr>
                <w:rFonts w:hint="eastAsia"/>
                <w:color w:val="auto"/>
                <w:sz w:val="21"/>
                <w:szCs w:val="21"/>
                <w:lang w:val="en-US" w:eastAsia="zh-CN"/>
              </w:rPr>
              <w:t>2-8</w:t>
            </w: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西河村二组右岸段堤脚加固断面</w:t>
            </w:r>
          </w:p>
          <w:p>
            <w:pPr>
              <w:spacing w:line="360" w:lineRule="auto"/>
              <w:ind w:firstLine="420" w:firstLineChars="200"/>
              <w:jc w:val="left"/>
              <w:rPr>
                <w:rFonts w:hint="eastAsia"/>
                <w:color w:val="auto"/>
              </w:rPr>
            </w:pPr>
            <w:r>
              <w:rPr>
                <w:rFonts w:hint="eastAsia"/>
                <w:color w:val="auto"/>
              </w:rPr>
              <w:t>龙安村龙安电站左岸段堤脚加固段，加固长度合计125m，堤脚加固断面形式采用扣墙进行加固，采用C20埋石混凝土进行浇筑（埋石率20%）。堤脚加固断面如图5-10。</w:t>
            </w:r>
          </w:p>
          <w:p>
            <w:pPr>
              <w:pStyle w:val="2"/>
              <w:spacing w:line="240" w:lineRule="auto"/>
              <w:ind w:firstLine="0" w:firstLineChars="0"/>
              <w:jc w:val="center"/>
              <w:rPr>
                <w:color w:val="auto"/>
              </w:rPr>
            </w:pPr>
            <w:r>
              <w:rPr>
                <w:color w:val="auto"/>
              </w:rPr>
              <w:drawing>
                <wp:inline distT="0" distB="0" distL="114300" distR="114300">
                  <wp:extent cx="4857750" cy="2428875"/>
                  <wp:effectExtent l="0" t="0" r="0" b="9525"/>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14"/>
                          <a:stretch>
                            <a:fillRect/>
                          </a:stretch>
                        </pic:blipFill>
                        <pic:spPr>
                          <a:xfrm>
                            <a:off x="0" y="0"/>
                            <a:ext cx="4857750" cy="2428875"/>
                          </a:xfrm>
                          <a:prstGeom prst="rect">
                            <a:avLst/>
                          </a:prstGeom>
                          <a:noFill/>
                          <a:ln>
                            <a:noFill/>
                          </a:ln>
                        </pic:spPr>
                      </pic:pic>
                    </a:graphicData>
                  </a:graphic>
                </wp:inline>
              </w:drawing>
            </w:r>
          </w:p>
          <w:p>
            <w:pPr>
              <w:pStyle w:val="6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lang w:eastAsia="zh-CN"/>
              </w:rPr>
            </w:pPr>
            <w:r>
              <w:rPr>
                <w:rFonts w:hint="eastAsia"/>
                <w:color w:val="auto"/>
                <w:sz w:val="21"/>
                <w:szCs w:val="21"/>
              </w:rPr>
              <w:t>图</w:t>
            </w:r>
            <w:r>
              <w:rPr>
                <w:rFonts w:hint="eastAsia"/>
                <w:color w:val="auto"/>
                <w:sz w:val="21"/>
                <w:szCs w:val="21"/>
                <w:lang w:val="en-US" w:eastAsia="zh-CN"/>
              </w:rPr>
              <w:t xml:space="preserve">2-9 </w:t>
            </w:r>
            <w:r>
              <w:rPr>
                <w:rFonts w:hint="eastAsia"/>
                <w:color w:val="auto"/>
                <w:sz w:val="21"/>
                <w:szCs w:val="21"/>
              </w:rPr>
              <w:t xml:space="preserve"> 龙安村龙安电站左岸段堤脚加固断面</w:t>
            </w:r>
          </w:p>
          <w:p>
            <w:pPr>
              <w:spacing w:line="360" w:lineRule="auto"/>
              <w:ind w:firstLine="420" w:firstLineChars="200"/>
              <w:rPr>
                <w:rFonts w:hint="default"/>
                <w:color w:val="auto"/>
                <w:lang w:val="en-US" w:eastAsia="zh-CN"/>
              </w:rPr>
            </w:pPr>
            <w:r>
              <w:rPr>
                <w:rFonts w:hint="eastAsia"/>
                <w:color w:val="auto"/>
                <w:lang w:val="en-US" w:eastAsia="zh-CN"/>
              </w:rPr>
              <w:t>3）排涝涵管</w:t>
            </w:r>
          </w:p>
          <w:p>
            <w:pPr>
              <w:spacing w:line="360" w:lineRule="auto"/>
              <w:ind w:firstLine="420" w:firstLineChars="200"/>
              <w:jc w:val="left"/>
              <w:rPr>
                <w:color w:val="auto"/>
              </w:rPr>
            </w:pPr>
            <w:r>
              <w:rPr>
                <w:rFonts w:hint="eastAsia"/>
                <w:color w:val="auto"/>
              </w:rPr>
              <w:t>本工程共涉及排涝涵管2处，均设置在九台村段，管道采用DN600钢筋混凝土管，管道壁厚60mm，每处排涝涵管长度为4.0m，管基铺设30cm厚3:7灰土垫层，垫层上设置28cm厚C20混凝土管床。</w:t>
            </w:r>
          </w:p>
          <w:p>
            <w:pPr>
              <w:adjustRightInd w:val="0"/>
              <w:snapToGrid w:val="0"/>
              <w:spacing w:line="360" w:lineRule="auto"/>
              <w:rPr>
                <w:rFonts w:hint="eastAsia"/>
                <w:b/>
                <w:bCs/>
                <w:color w:val="auto"/>
                <w:lang w:val="en-US" w:eastAsia="zh-CN"/>
              </w:rPr>
            </w:pPr>
            <w:r>
              <w:rPr>
                <w:rFonts w:hint="eastAsia"/>
                <w:b/>
                <w:bCs/>
                <w:color w:val="auto"/>
                <w:lang w:val="en-US" w:eastAsia="zh-CN"/>
              </w:rPr>
              <w:t>二、临时工程现场布置</w:t>
            </w:r>
          </w:p>
          <w:p>
            <w:pPr>
              <w:pStyle w:val="5"/>
              <w:pageBreakBefore w:val="0"/>
              <w:kinsoku/>
              <w:wordWrap/>
              <w:overflowPunct/>
              <w:topLinePunct w:val="0"/>
              <w:autoSpaceDE/>
              <w:autoSpaceDN/>
              <w:bidi w:val="0"/>
              <w:adjustRightInd/>
              <w:spacing w:before="0" w:after="0" w:line="360" w:lineRule="auto"/>
              <w:ind w:right="0" w:firstLine="420" w:firstLineChars="200"/>
              <w:textAlignment w:val="auto"/>
              <w:rPr>
                <w:b w:val="0"/>
                <w:bCs w:val="0"/>
                <w:color w:val="auto"/>
                <w:sz w:val="21"/>
                <w:szCs w:val="21"/>
                <w:highlight w:val="none"/>
              </w:rPr>
            </w:pPr>
            <w:r>
              <w:rPr>
                <w:rFonts w:hint="eastAsia"/>
                <w:b w:val="0"/>
                <w:bCs w:val="0"/>
                <w:color w:val="auto"/>
                <w:sz w:val="21"/>
                <w:szCs w:val="21"/>
                <w:highlight w:val="none"/>
                <w:lang w:eastAsia="zh-CN"/>
              </w:rPr>
              <w:t>（</w:t>
            </w:r>
            <w:r>
              <w:rPr>
                <w:rFonts w:hint="eastAsia"/>
                <w:b w:val="0"/>
                <w:bCs w:val="0"/>
                <w:color w:val="auto"/>
                <w:sz w:val="21"/>
                <w:szCs w:val="21"/>
                <w:highlight w:val="none"/>
                <w:lang w:val="en-US" w:eastAsia="zh-CN"/>
              </w:rPr>
              <w:t>1</w:t>
            </w:r>
            <w:r>
              <w:rPr>
                <w:rFonts w:hint="eastAsia"/>
                <w:b w:val="0"/>
                <w:bCs w:val="0"/>
                <w:color w:val="auto"/>
                <w:sz w:val="21"/>
                <w:szCs w:val="21"/>
                <w:highlight w:val="none"/>
                <w:lang w:eastAsia="zh-CN"/>
              </w:rPr>
              <w:t>）</w:t>
            </w:r>
            <w:r>
              <w:rPr>
                <w:b w:val="0"/>
                <w:bCs w:val="0"/>
                <w:color w:val="auto"/>
                <w:sz w:val="21"/>
                <w:szCs w:val="21"/>
                <w:highlight w:val="none"/>
              </w:rPr>
              <w:t>施工场地布置</w:t>
            </w:r>
          </w:p>
          <w:p>
            <w:pPr>
              <w:pageBreakBefore w:val="0"/>
              <w:kinsoku/>
              <w:wordWrap/>
              <w:overflowPunct/>
              <w:topLinePunct w:val="0"/>
              <w:autoSpaceDE/>
              <w:autoSpaceDN/>
              <w:bidi w:val="0"/>
              <w:adjustRightInd/>
              <w:spacing w:line="360" w:lineRule="auto"/>
              <w:ind w:right="0" w:firstLine="420" w:firstLineChars="200"/>
              <w:textAlignment w:val="auto"/>
              <w:rPr>
                <w:b w:val="0"/>
                <w:bCs w:val="0"/>
                <w:color w:val="auto"/>
                <w:sz w:val="21"/>
                <w:szCs w:val="21"/>
                <w:highlight w:val="none"/>
              </w:rPr>
            </w:pPr>
            <w:r>
              <w:rPr>
                <w:b w:val="0"/>
                <w:bCs w:val="0"/>
                <w:color w:val="auto"/>
                <w:sz w:val="21"/>
                <w:szCs w:val="21"/>
                <w:highlight w:val="none"/>
              </w:rPr>
              <w:t>本次项目区位于岚河</w:t>
            </w:r>
            <w:r>
              <w:rPr>
                <w:rFonts w:hint="eastAsia"/>
                <w:b w:val="0"/>
                <w:bCs w:val="0"/>
                <w:color w:val="auto"/>
                <w:sz w:val="21"/>
                <w:szCs w:val="21"/>
                <w:highlight w:val="none"/>
              </w:rPr>
              <w:t>、大</w:t>
            </w:r>
            <w:r>
              <w:rPr>
                <w:b w:val="0"/>
                <w:bCs w:val="0"/>
                <w:color w:val="auto"/>
                <w:sz w:val="21"/>
                <w:szCs w:val="21"/>
                <w:highlight w:val="none"/>
              </w:rPr>
              <w:t>盘河</w:t>
            </w:r>
            <w:r>
              <w:rPr>
                <w:rFonts w:hint="eastAsia"/>
                <w:b w:val="0"/>
                <w:bCs w:val="0"/>
                <w:color w:val="auto"/>
                <w:sz w:val="21"/>
                <w:szCs w:val="21"/>
                <w:highlight w:val="none"/>
              </w:rPr>
              <w:t>及西河</w:t>
            </w:r>
            <w:r>
              <w:rPr>
                <w:b w:val="0"/>
                <w:bCs w:val="0"/>
                <w:color w:val="auto"/>
                <w:sz w:val="21"/>
                <w:szCs w:val="21"/>
                <w:highlight w:val="none"/>
              </w:rPr>
              <w:t>河道两岸，</w:t>
            </w:r>
            <w:r>
              <w:rPr>
                <w:rFonts w:hint="eastAsia"/>
                <w:b w:val="0"/>
                <w:bCs w:val="0"/>
                <w:color w:val="auto"/>
                <w:sz w:val="21"/>
                <w:szCs w:val="21"/>
                <w:highlight w:val="none"/>
              </w:rPr>
              <w:t>工程施工场地开阔，施工干扰小，且不影响县、镇区交通，必要时可以实行封闭施工。施工区建筑材料可就近堆放。本工程由于工程地开阔，作业面较大，上劳人数可视工程需要增加，不受场地限制。</w:t>
            </w:r>
          </w:p>
          <w:p>
            <w:pPr>
              <w:pageBreakBefore w:val="0"/>
              <w:kinsoku/>
              <w:wordWrap/>
              <w:overflowPunct/>
              <w:topLinePunct w:val="0"/>
              <w:autoSpaceDE/>
              <w:autoSpaceDN/>
              <w:bidi w:val="0"/>
              <w:adjustRightInd/>
              <w:spacing w:line="360" w:lineRule="auto"/>
              <w:ind w:right="0" w:firstLine="420" w:firstLineChars="200"/>
              <w:textAlignment w:val="auto"/>
              <w:rPr>
                <w:b w:val="0"/>
                <w:bCs w:val="0"/>
                <w:color w:val="auto"/>
                <w:sz w:val="21"/>
                <w:szCs w:val="21"/>
                <w:highlight w:val="none"/>
              </w:rPr>
            </w:pPr>
            <w:r>
              <w:rPr>
                <w:rFonts w:hint="eastAsia"/>
                <w:b w:val="0"/>
                <w:bCs w:val="0"/>
                <w:color w:val="auto"/>
                <w:sz w:val="21"/>
                <w:szCs w:val="21"/>
                <w:highlight w:val="none"/>
              </w:rPr>
              <w:t>为加快工程建设进度、降低环境污染并尽量减少施工临时占地，施工临建宜采用分散布置，有利于生产。施工管理办公系统、生活福利设施、施工人员临时房屋等租用附近民房，临时仓库、拌和站以及临时材料库可根据施工情况沿堤线布设</w:t>
            </w:r>
            <w:r>
              <w:rPr>
                <w:b w:val="0"/>
                <w:bCs w:val="0"/>
                <w:color w:val="auto"/>
                <w:sz w:val="21"/>
                <w:szCs w:val="21"/>
                <w:highlight w:val="none"/>
              </w:rPr>
              <w:t>。</w:t>
            </w:r>
          </w:p>
          <w:p>
            <w:pPr>
              <w:pStyle w:val="5"/>
              <w:pageBreakBefore w:val="0"/>
              <w:kinsoku/>
              <w:wordWrap/>
              <w:overflowPunct/>
              <w:topLinePunct w:val="0"/>
              <w:autoSpaceDE/>
              <w:autoSpaceDN/>
              <w:bidi w:val="0"/>
              <w:adjustRightInd/>
              <w:spacing w:before="0" w:after="0" w:line="360" w:lineRule="auto"/>
              <w:ind w:right="0" w:firstLine="420" w:firstLineChars="200"/>
              <w:textAlignment w:val="auto"/>
              <w:rPr>
                <w:b w:val="0"/>
                <w:bCs w:val="0"/>
                <w:color w:val="auto"/>
                <w:sz w:val="21"/>
                <w:szCs w:val="21"/>
                <w:highlight w:val="none"/>
              </w:rPr>
            </w:pPr>
            <w:r>
              <w:rPr>
                <w:rFonts w:hint="eastAsia"/>
                <w:b w:val="0"/>
                <w:bCs w:val="0"/>
                <w:color w:val="auto"/>
                <w:sz w:val="21"/>
                <w:szCs w:val="21"/>
                <w:highlight w:val="none"/>
                <w:lang w:eastAsia="zh-CN"/>
              </w:rPr>
              <w:t>（</w:t>
            </w:r>
            <w:r>
              <w:rPr>
                <w:rFonts w:hint="eastAsia"/>
                <w:b w:val="0"/>
                <w:bCs w:val="0"/>
                <w:color w:val="auto"/>
                <w:sz w:val="21"/>
                <w:szCs w:val="21"/>
                <w:highlight w:val="none"/>
                <w:lang w:val="en-US" w:eastAsia="zh-CN"/>
              </w:rPr>
              <w:t>2</w:t>
            </w:r>
            <w:r>
              <w:rPr>
                <w:rFonts w:hint="eastAsia"/>
                <w:b w:val="0"/>
                <w:bCs w:val="0"/>
                <w:color w:val="auto"/>
                <w:sz w:val="21"/>
                <w:szCs w:val="21"/>
                <w:highlight w:val="none"/>
                <w:lang w:eastAsia="zh-CN"/>
              </w:rPr>
              <w:t>）</w:t>
            </w:r>
            <w:r>
              <w:rPr>
                <w:b w:val="0"/>
                <w:bCs w:val="0"/>
                <w:color w:val="auto"/>
                <w:sz w:val="21"/>
                <w:szCs w:val="21"/>
                <w:highlight w:val="none"/>
              </w:rPr>
              <w:t>施工分区布置</w:t>
            </w:r>
          </w:p>
          <w:p>
            <w:pPr>
              <w:pStyle w:val="2"/>
              <w:pageBreakBefore w:val="0"/>
              <w:kinsoku/>
              <w:wordWrap/>
              <w:overflowPunct/>
              <w:topLinePunct w:val="0"/>
              <w:autoSpaceDE/>
              <w:autoSpaceDN/>
              <w:bidi w:val="0"/>
              <w:adjustRightInd/>
              <w:spacing w:before="0" w:after="0" w:line="360" w:lineRule="auto"/>
              <w:ind w:right="0" w:firstLine="420" w:firstLineChars="200"/>
              <w:textAlignment w:val="auto"/>
              <w:rPr>
                <w:rFonts w:hint="eastAsia"/>
                <w:b w:val="0"/>
                <w:bCs w:val="0"/>
                <w:color w:val="auto"/>
                <w:sz w:val="21"/>
                <w:szCs w:val="21"/>
                <w:highlight w:val="none"/>
                <w:lang w:eastAsia="zh-CN"/>
              </w:rPr>
            </w:pPr>
            <w:r>
              <w:rPr>
                <w:b w:val="0"/>
                <w:bCs w:val="0"/>
                <w:color w:val="auto"/>
                <w:sz w:val="21"/>
                <w:szCs w:val="21"/>
                <w:highlight w:val="none"/>
              </w:rPr>
              <w:t>结合施工进度安排及本工程的特点，工程区</w:t>
            </w:r>
            <w:r>
              <w:rPr>
                <w:rFonts w:hint="eastAsia"/>
                <w:b w:val="0"/>
                <w:bCs w:val="0"/>
                <w:color w:val="auto"/>
                <w:sz w:val="21"/>
                <w:szCs w:val="21"/>
                <w:highlight w:val="none"/>
              </w:rPr>
              <w:t>村庄</w:t>
            </w:r>
            <w:r>
              <w:rPr>
                <w:b w:val="0"/>
                <w:bCs w:val="0"/>
                <w:color w:val="auto"/>
                <w:sz w:val="21"/>
                <w:szCs w:val="21"/>
                <w:highlight w:val="none"/>
              </w:rPr>
              <w:t>，附近民舍较多，可供租用，施工期间可利用其作为建设单位、监理单位的办公场所、职工宿舍以及材料实验室，工程区</w:t>
            </w:r>
            <w:r>
              <w:rPr>
                <w:rFonts w:hint="eastAsia"/>
                <w:b w:val="0"/>
                <w:bCs w:val="0"/>
                <w:color w:val="auto"/>
                <w:sz w:val="21"/>
                <w:szCs w:val="21"/>
                <w:highlight w:val="none"/>
              </w:rPr>
              <w:t>周边闲置</w:t>
            </w:r>
            <w:r>
              <w:rPr>
                <w:b w:val="0"/>
                <w:bCs w:val="0"/>
                <w:color w:val="auto"/>
                <w:sz w:val="21"/>
                <w:szCs w:val="21"/>
                <w:highlight w:val="none"/>
              </w:rPr>
              <w:t>空地上，可作为混凝土拌合站及砂石料堆放场地、施工设备停放场地等。总共布置施工</w:t>
            </w:r>
            <w:r>
              <w:rPr>
                <w:rFonts w:hint="eastAsia"/>
                <w:b w:val="0"/>
                <w:bCs w:val="0"/>
                <w:color w:val="auto"/>
                <w:sz w:val="21"/>
                <w:szCs w:val="21"/>
                <w:highlight w:val="none"/>
              </w:rPr>
              <w:t>临时</w:t>
            </w:r>
            <w:r>
              <w:rPr>
                <w:b w:val="0"/>
                <w:bCs w:val="0"/>
                <w:color w:val="auto"/>
                <w:sz w:val="21"/>
                <w:szCs w:val="21"/>
                <w:highlight w:val="none"/>
              </w:rPr>
              <w:t>场</w:t>
            </w:r>
            <w:r>
              <w:rPr>
                <w:rFonts w:hint="eastAsia"/>
                <w:b w:val="0"/>
                <w:bCs w:val="0"/>
                <w:color w:val="auto"/>
                <w:sz w:val="21"/>
                <w:szCs w:val="21"/>
                <w:highlight w:val="none"/>
              </w:rPr>
              <w:t>地</w:t>
            </w:r>
            <w:r>
              <w:rPr>
                <w:rFonts w:hint="eastAsia"/>
                <w:b w:val="0"/>
                <w:bCs w:val="0"/>
                <w:color w:val="auto"/>
                <w:sz w:val="21"/>
                <w:szCs w:val="21"/>
                <w:highlight w:val="none"/>
                <w:lang w:val="en-US" w:eastAsia="zh-CN"/>
              </w:rPr>
              <w:t>35</w:t>
            </w:r>
            <w:r>
              <w:rPr>
                <w:rFonts w:hint="eastAsia"/>
                <w:b w:val="0"/>
                <w:bCs w:val="0"/>
                <w:color w:val="auto"/>
                <w:sz w:val="21"/>
                <w:szCs w:val="21"/>
                <w:highlight w:val="none"/>
              </w:rPr>
              <w:t>00</w:t>
            </w:r>
            <w:r>
              <w:rPr>
                <w:b w:val="0"/>
                <w:bCs w:val="0"/>
                <w:color w:val="auto"/>
                <w:sz w:val="21"/>
                <w:szCs w:val="21"/>
                <w:highlight w:val="none"/>
              </w:rPr>
              <w:t>m</w:t>
            </w:r>
            <w:r>
              <w:rPr>
                <w:b w:val="0"/>
                <w:bCs w:val="0"/>
                <w:color w:val="auto"/>
                <w:sz w:val="21"/>
                <w:szCs w:val="21"/>
                <w:highlight w:val="none"/>
                <w:vertAlign w:val="superscript"/>
              </w:rPr>
              <w:t>2</w:t>
            </w:r>
            <w:r>
              <w:rPr>
                <w:b w:val="0"/>
                <w:bCs w:val="0"/>
                <w:color w:val="auto"/>
                <w:sz w:val="21"/>
                <w:szCs w:val="21"/>
                <w:highlight w:val="none"/>
              </w:rPr>
              <w:t>，</w:t>
            </w:r>
            <w:r>
              <w:rPr>
                <w:rFonts w:hint="eastAsia"/>
                <w:b w:val="0"/>
                <w:bCs w:val="0"/>
                <w:color w:val="auto"/>
                <w:sz w:val="21"/>
                <w:szCs w:val="21"/>
                <w:highlight w:val="none"/>
              </w:rPr>
              <w:t>每段布置施工临时场地500</w:t>
            </w:r>
            <w:r>
              <w:rPr>
                <w:b w:val="0"/>
                <w:bCs w:val="0"/>
                <w:color w:val="auto"/>
                <w:sz w:val="21"/>
                <w:szCs w:val="21"/>
                <w:highlight w:val="none"/>
              </w:rPr>
              <w:t>m</w:t>
            </w:r>
            <w:r>
              <w:rPr>
                <w:b w:val="0"/>
                <w:bCs w:val="0"/>
                <w:color w:val="auto"/>
                <w:sz w:val="21"/>
                <w:szCs w:val="21"/>
                <w:highlight w:val="none"/>
                <w:vertAlign w:val="superscript"/>
              </w:rPr>
              <w:t>2</w:t>
            </w:r>
            <w:r>
              <w:rPr>
                <w:rFonts w:hint="eastAsia"/>
                <w:b w:val="0"/>
                <w:bCs w:val="0"/>
                <w:color w:val="auto"/>
                <w:sz w:val="21"/>
                <w:szCs w:val="21"/>
                <w:highlight w:val="none"/>
              </w:rPr>
              <w:t>，施工临时场地</w:t>
            </w:r>
            <w:r>
              <w:rPr>
                <w:b w:val="0"/>
                <w:bCs w:val="0"/>
                <w:color w:val="auto"/>
                <w:sz w:val="21"/>
                <w:szCs w:val="21"/>
                <w:highlight w:val="none"/>
              </w:rPr>
              <w:t>设置</w:t>
            </w:r>
            <w:r>
              <w:rPr>
                <w:rFonts w:hint="eastAsia"/>
                <w:b w:val="0"/>
                <w:bCs w:val="0"/>
                <w:color w:val="auto"/>
                <w:sz w:val="21"/>
                <w:szCs w:val="21"/>
                <w:highlight w:val="none"/>
              </w:rPr>
              <w:t>砂浆拌合站200</w:t>
            </w:r>
            <w:r>
              <w:rPr>
                <w:b w:val="0"/>
                <w:bCs w:val="0"/>
                <w:color w:val="auto"/>
                <w:sz w:val="21"/>
                <w:szCs w:val="21"/>
                <w:highlight w:val="none"/>
              </w:rPr>
              <w:t>m</w:t>
            </w:r>
            <w:r>
              <w:rPr>
                <w:b w:val="0"/>
                <w:bCs w:val="0"/>
                <w:color w:val="auto"/>
                <w:sz w:val="21"/>
                <w:szCs w:val="21"/>
                <w:highlight w:val="none"/>
                <w:vertAlign w:val="superscript"/>
              </w:rPr>
              <w:t>2</w:t>
            </w:r>
            <w:r>
              <w:rPr>
                <w:b w:val="0"/>
                <w:bCs w:val="0"/>
                <w:color w:val="auto"/>
                <w:sz w:val="21"/>
                <w:szCs w:val="21"/>
                <w:highlight w:val="none"/>
              </w:rPr>
              <w:t>，</w:t>
            </w:r>
            <w:r>
              <w:rPr>
                <w:rFonts w:hint="eastAsia"/>
                <w:b w:val="0"/>
                <w:bCs w:val="0"/>
                <w:color w:val="auto"/>
                <w:sz w:val="21"/>
                <w:szCs w:val="21"/>
                <w:highlight w:val="none"/>
              </w:rPr>
              <w:t>临时仓库150</w:t>
            </w:r>
            <w:r>
              <w:rPr>
                <w:b w:val="0"/>
                <w:bCs w:val="0"/>
                <w:color w:val="auto"/>
                <w:sz w:val="21"/>
                <w:szCs w:val="21"/>
                <w:highlight w:val="none"/>
              </w:rPr>
              <w:t>m</w:t>
            </w:r>
            <w:r>
              <w:rPr>
                <w:b w:val="0"/>
                <w:bCs w:val="0"/>
                <w:color w:val="auto"/>
                <w:sz w:val="21"/>
                <w:szCs w:val="21"/>
                <w:highlight w:val="none"/>
                <w:vertAlign w:val="superscript"/>
              </w:rPr>
              <w:t>2</w:t>
            </w:r>
            <w:r>
              <w:rPr>
                <w:b w:val="0"/>
                <w:bCs w:val="0"/>
                <w:color w:val="auto"/>
                <w:sz w:val="21"/>
                <w:szCs w:val="21"/>
                <w:highlight w:val="none"/>
              </w:rPr>
              <w:t>，</w:t>
            </w:r>
            <w:r>
              <w:rPr>
                <w:rFonts w:hint="eastAsia"/>
                <w:b w:val="0"/>
                <w:bCs w:val="0"/>
                <w:color w:val="auto"/>
                <w:sz w:val="21"/>
                <w:szCs w:val="21"/>
                <w:highlight w:val="none"/>
              </w:rPr>
              <w:t>临时停车场150</w:t>
            </w:r>
            <w:r>
              <w:rPr>
                <w:b w:val="0"/>
                <w:bCs w:val="0"/>
                <w:color w:val="auto"/>
                <w:sz w:val="21"/>
                <w:szCs w:val="21"/>
                <w:highlight w:val="none"/>
              </w:rPr>
              <w:t>m</w:t>
            </w:r>
            <w:r>
              <w:rPr>
                <w:b w:val="0"/>
                <w:bCs w:val="0"/>
                <w:color w:val="auto"/>
                <w:sz w:val="21"/>
                <w:szCs w:val="21"/>
                <w:highlight w:val="none"/>
                <w:vertAlign w:val="superscript"/>
              </w:rPr>
              <w:t>2</w:t>
            </w:r>
            <w:r>
              <w:rPr>
                <w:rFonts w:hint="eastAsia"/>
                <w:b w:val="0"/>
                <w:bCs w:val="0"/>
                <w:color w:val="auto"/>
                <w:sz w:val="21"/>
                <w:szCs w:val="21"/>
                <w:highlight w:val="none"/>
                <w:lang w:eastAsia="zh-CN"/>
              </w:rPr>
              <w:t>。</w:t>
            </w:r>
          </w:p>
          <w:p>
            <w:pPr>
              <w:pStyle w:val="5"/>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b w:val="0"/>
                <w:bCs w:val="0"/>
                <w:color w:val="auto"/>
                <w:sz w:val="21"/>
                <w:szCs w:val="21"/>
                <w:highlight w:val="none"/>
              </w:rPr>
            </w:pPr>
            <w:r>
              <w:rPr>
                <w:rFonts w:hint="eastAsia"/>
                <w:b w:val="0"/>
                <w:bCs w:val="0"/>
                <w:color w:val="auto"/>
                <w:sz w:val="21"/>
                <w:szCs w:val="21"/>
                <w:highlight w:val="none"/>
                <w:lang w:eastAsia="zh-CN"/>
              </w:rPr>
              <w:t>（</w:t>
            </w:r>
            <w:r>
              <w:rPr>
                <w:rFonts w:hint="eastAsia"/>
                <w:b w:val="0"/>
                <w:bCs w:val="0"/>
                <w:color w:val="auto"/>
                <w:sz w:val="21"/>
                <w:szCs w:val="21"/>
                <w:highlight w:val="none"/>
                <w:lang w:val="en-US" w:eastAsia="zh-CN"/>
              </w:rPr>
              <w:t>3</w:t>
            </w:r>
            <w:r>
              <w:rPr>
                <w:rFonts w:hint="eastAsia"/>
                <w:b w:val="0"/>
                <w:bCs w:val="0"/>
                <w:color w:val="auto"/>
                <w:sz w:val="21"/>
                <w:szCs w:val="21"/>
                <w:highlight w:val="none"/>
                <w:lang w:eastAsia="zh-CN"/>
              </w:rPr>
              <w:t>）</w:t>
            </w:r>
            <w:r>
              <w:rPr>
                <w:b w:val="0"/>
                <w:bCs w:val="0"/>
                <w:color w:val="auto"/>
                <w:sz w:val="21"/>
                <w:szCs w:val="21"/>
                <w:highlight w:val="none"/>
              </w:rPr>
              <w:t>弃渣规划</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color w:val="auto"/>
                <w:sz w:val="21"/>
                <w:szCs w:val="21"/>
                <w:highlight w:val="none"/>
              </w:rPr>
              <w:t>根据土石方平衡分析计算，本工程</w:t>
            </w:r>
            <w:r>
              <w:rPr>
                <w:rFonts w:hint="eastAsia"/>
                <w:color w:val="auto"/>
                <w:sz w:val="21"/>
                <w:szCs w:val="21"/>
                <w:highlight w:val="none"/>
              </w:rPr>
              <w:t>清基方量为0.70万</w:t>
            </w:r>
            <w:r>
              <w:rPr>
                <w:color w:val="auto"/>
                <w:sz w:val="21"/>
                <w:szCs w:val="21"/>
                <w:highlight w:val="none"/>
              </w:rPr>
              <w:t>m³</w:t>
            </w:r>
            <w:r>
              <w:rPr>
                <w:rFonts w:hint="eastAsia"/>
                <w:color w:val="auto"/>
                <w:sz w:val="21"/>
                <w:szCs w:val="21"/>
                <w:highlight w:val="none"/>
              </w:rPr>
              <w:t>，</w:t>
            </w:r>
            <w:r>
              <w:rPr>
                <w:color w:val="auto"/>
                <w:sz w:val="21"/>
                <w:szCs w:val="21"/>
                <w:highlight w:val="none"/>
              </w:rPr>
              <w:t>弃方量</w:t>
            </w:r>
            <w:r>
              <w:rPr>
                <w:rFonts w:hint="eastAsia"/>
                <w:color w:val="auto"/>
                <w:sz w:val="21"/>
                <w:szCs w:val="21"/>
                <w:highlight w:val="none"/>
              </w:rPr>
              <w:t>2.28</w:t>
            </w:r>
            <w:r>
              <w:rPr>
                <w:color w:val="auto"/>
                <w:sz w:val="21"/>
                <w:szCs w:val="21"/>
                <w:highlight w:val="none"/>
              </w:rPr>
              <w:t>万m³，</w:t>
            </w:r>
            <w:r>
              <w:rPr>
                <w:rFonts w:hint="eastAsia"/>
                <w:color w:val="auto"/>
                <w:sz w:val="21"/>
                <w:szCs w:val="21"/>
                <w:highlight w:val="none"/>
              </w:rPr>
              <w:t>共计弃方量为2.98万</w:t>
            </w:r>
            <w:r>
              <w:rPr>
                <w:color w:val="auto"/>
                <w:sz w:val="21"/>
                <w:szCs w:val="21"/>
                <w:highlight w:val="none"/>
              </w:rPr>
              <w:t>m³</w:t>
            </w:r>
            <w:r>
              <w:rPr>
                <w:rFonts w:hint="eastAsia"/>
                <w:color w:val="auto"/>
                <w:sz w:val="21"/>
                <w:szCs w:val="21"/>
                <w:highlight w:val="none"/>
              </w:rPr>
              <w:t>，</w:t>
            </w:r>
            <w:r>
              <w:rPr>
                <w:color w:val="auto"/>
                <w:sz w:val="21"/>
                <w:szCs w:val="21"/>
                <w:highlight w:val="none"/>
              </w:rPr>
              <w:t>结合项目区地形条件，将弃渣</w:t>
            </w:r>
            <w:r>
              <w:rPr>
                <w:rFonts w:hint="eastAsia"/>
                <w:color w:val="auto"/>
                <w:sz w:val="21"/>
                <w:szCs w:val="21"/>
                <w:highlight w:val="none"/>
              </w:rPr>
              <w:t>回填</w:t>
            </w:r>
            <w:r>
              <w:rPr>
                <w:color w:val="auto"/>
                <w:sz w:val="21"/>
                <w:szCs w:val="21"/>
                <w:highlight w:val="none"/>
              </w:rPr>
              <w:t>于</w:t>
            </w:r>
            <w:r>
              <w:rPr>
                <w:rFonts w:hint="eastAsia"/>
                <w:color w:val="auto"/>
                <w:sz w:val="21"/>
                <w:szCs w:val="21"/>
                <w:highlight w:val="none"/>
              </w:rPr>
              <w:t>各</w:t>
            </w:r>
            <w:r>
              <w:rPr>
                <w:color w:val="auto"/>
                <w:sz w:val="21"/>
                <w:szCs w:val="21"/>
                <w:highlight w:val="none"/>
              </w:rPr>
              <w:t>工程</w:t>
            </w:r>
            <w:r>
              <w:rPr>
                <w:rFonts w:hint="eastAsia"/>
                <w:color w:val="auto"/>
                <w:sz w:val="21"/>
                <w:szCs w:val="21"/>
                <w:highlight w:val="none"/>
              </w:rPr>
              <w:t>段</w:t>
            </w:r>
            <w:r>
              <w:rPr>
                <w:color w:val="auto"/>
                <w:sz w:val="21"/>
                <w:szCs w:val="21"/>
                <w:highlight w:val="none"/>
              </w:rPr>
              <w:t>背水侧低洼地带</w:t>
            </w:r>
            <w:r>
              <w:rPr>
                <w:rFonts w:hint="eastAsia"/>
                <w:color w:val="auto"/>
                <w:sz w:val="21"/>
                <w:szCs w:val="21"/>
                <w:highlight w:val="none"/>
              </w:rPr>
              <w:t>，或运至工程区上、下游侧段对堤后低洼地带进行回填，对弃方进行平整碾压，并对表层覆土，进行植被恢复</w:t>
            </w:r>
            <w:r>
              <w:rPr>
                <w:color w:val="auto"/>
                <w:sz w:val="21"/>
                <w:szCs w:val="21"/>
                <w:highlight w:val="none"/>
              </w:rPr>
              <w:t>。</w:t>
            </w:r>
          </w:p>
          <w:p>
            <w:pPr>
              <w:pStyle w:val="2"/>
              <w:pageBreakBefore w:val="0"/>
              <w:kinsoku/>
              <w:wordWrap/>
              <w:overflowPunct/>
              <w:topLinePunct w:val="0"/>
              <w:autoSpaceDE/>
              <w:autoSpaceDN/>
              <w:bidi w:val="0"/>
              <w:adjustRightInd/>
              <w:spacing w:before="0" w:after="0" w:line="360" w:lineRule="auto"/>
              <w:ind w:right="0" w:firstLine="420" w:firstLineChars="200"/>
              <w:textAlignment w:val="auto"/>
              <w:rPr>
                <w:rFonts w:hint="eastAsia"/>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Align w:val="center"/>
          </w:tcPr>
          <w:p>
            <w:pPr>
              <w:adjustRightInd w:val="0"/>
              <w:snapToGrid w:val="0"/>
              <w:jc w:val="center"/>
              <w:rPr>
                <w:rFonts w:ascii="Times New Roman" w:hAnsi="Times New Roman" w:eastAsia="宋体" w:cs="Times New Roman"/>
                <w:color w:val="auto"/>
                <w:kern w:val="0"/>
                <w:sz w:val="21"/>
                <w:szCs w:val="21"/>
                <w:lang w:val="en-US" w:eastAsia="zh-CN" w:bidi="ar-SA"/>
              </w:rPr>
            </w:pPr>
            <w:r>
              <w:rPr>
                <w:color w:val="auto"/>
                <w:kern w:val="0"/>
                <w:szCs w:val="21"/>
              </w:rPr>
              <w:t>施工方案</w:t>
            </w:r>
          </w:p>
        </w:tc>
        <w:tc>
          <w:tcPr>
            <w:tcW w:w="8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b/>
                <w:bCs/>
                <w:color w:val="auto"/>
                <w:szCs w:val="21"/>
              </w:rPr>
            </w:pPr>
            <w:r>
              <w:rPr>
                <w:rFonts w:hint="eastAsia"/>
                <w:b/>
                <w:bCs/>
                <w:color w:val="auto"/>
                <w:szCs w:val="21"/>
                <w:lang w:eastAsia="zh-CN"/>
              </w:rPr>
              <w:t>一、</w:t>
            </w:r>
            <w:r>
              <w:rPr>
                <w:b/>
                <w:bCs/>
                <w:color w:val="auto"/>
                <w:szCs w:val="21"/>
              </w:rPr>
              <w:t>施工工艺</w:t>
            </w:r>
          </w:p>
          <w:p>
            <w:pPr>
              <w:adjustRightInd w:val="0"/>
              <w:snapToGrid w:val="0"/>
              <w:spacing w:line="360" w:lineRule="auto"/>
              <w:ind w:firstLine="420" w:firstLineChars="200"/>
              <w:jc w:val="left"/>
              <w:rPr>
                <w:rFonts w:hint="eastAsia"/>
                <w:color w:val="auto"/>
                <w:szCs w:val="21"/>
                <w:lang w:val="en-US" w:eastAsia="zh-CN"/>
              </w:rPr>
            </w:pPr>
            <w:r>
              <w:rPr>
                <w:rFonts w:hint="eastAsia"/>
                <w:color w:val="auto"/>
                <w:kern w:val="0"/>
                <w:szCs w:val="21"/>
                <w:lang w:val="en-US" w:eastAsia="zh-CN"/>
              </w:rPr>
              <w:t xml:space="preserve">本工程运营期无产污环节，主要产污环节在施工期。施工期工艺流程及产污环节见图 </w:t>
            </w:r>
            <w:r>
              <w:rPr>
                <w:rFonts w:hint="default"/>
                <w:color w:val="auto"/>
                <w:kern w:val="0"/>
                <w:szCs w:val="21"/>
                <w:lang w:val="en-US" w:eastAsia="zh-CN"/>
              </w:rPr>
              <w:t>2-</w:t>
            </w:r>
            <w:r>
              <w:rPr>
                <w:rFonts w:hint="eastAsia"/>
                <w:color w:val="auto"/>
                <w:kern w:val="0"/>
                <w:szCs w:val="21"/>
                <w:lang w:val="en-US" w:eastAsia="zh-CN"/>
              </w:rPr>
              <w:t>10。</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Cs w:val="21"/>
                <w:lang w:val="en-US" w:eastAsia="zh-CN"/>
              </w:rPr>
            </w:pPr>
            <w:r>
              <w:rPr>
                <w:rFonts w:hint="eastAsia"/>
                <w:color w:val="auto"/>
                <w:szCs w:val="21"/>
                <w:lang w:eastAsia="zh-CN"/>
              </w:rPr>
              <w:drawing>
                <wp:inline distT="0" distB="0" distL="114300" distR="114300">
                  <wp:extent cx="5177790" cy="1925320"/>
                  <wp:effectExtent l="9525" t="9525" r="13335" b="27305"/>
                  <wp:docPr id="28" name="图片 28" descr="1655988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655988438(1)"/>
                          <pic:cNvPicPr>
                            <a:picLocks noChangeAspect="1"/>
                          </pic:cNvPicPr>
                        </pic:nvPicPr>
                        <pic:blipFill>
                          <a:blip r:embed="rId15"/>
                          <a:stretch>
                            <a:fillRect/>
                          </a:stretch>
                        </pic:blipFill>
                        <pic:spPr>
                          <a:xfrm>
                            <a:off x="0" y="0"/>
                            <a:ext cx="5177790" cy="1925320"/>
                          </a:xfrm>
                          <a:prstGeom prst="rect">
                            <a:avLst/>
                          </a:prstGeom>
                          <a:ln>
                            <a:solidFill>
                              <a:schemeClr val="tx1"/>
                            </a:solid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Cs w:val="21"/>
              </w:rPr>
            </w:pPr>
            <w:r>
              <w:rPr>
                <w:rFonts w:hint="eastAsia" w:ascii="黑体" w:hAnsi="黑体" w:eastAsia="黑体" w:cs="黑体"/>
                <w:color w:val="auto"/>
                <w:szCs w:val="21"/>
              </w:rPr>
              <w:t>图</w:t>
            </w:r>
            <w:r>
              <w:rPr>
                <w:rFonts w:hint="eastAsia" w:ascii="黑体" w:hAnsi="黑体" w:eastAsia="黑体" w:cs="黑体"/>
                <w:color w:val="auto"/>
                <w:szCs w:val="21"/>
                <w:lang w:val="en-US" w:eastAsia="zh-CN"/>
              </w:rPr>
              <w:t>2-10</w:t>
            </w:r>
            <w:r>
              <w:rPr>
                <w:rFonts w:hint="eastAsia" w:ascii="黑体" w:hAnsi="黑体" w:eastAsia="黑体" w:cs="黑体"/>
                <w:color w:val="auto"/>
                <w:szCs w:val="21"/>
              </w:rPr>
              <w:t xml:space="preserve">  施工工艺流程</w:t>
            </w:r>
            <w:r>
              <w:rPr>
                <w:rFonts w:hint="eastAsia" w:ascii="黑体" w:hAnsi="黑体" w:eastAsia="黑体" w:cs="黑体"/>
                <w:color w:val="auto"/>
                <w:szCs w:val="21"/>
                <w:lang w:eastAsia="zh-CN"/>
              </w:rPr>
              <w:t>及产污环节</w:t>
            </w:r>
            <w:r>
              <w:rPr>
                <w:rFonts w:hint="eastAsia" w:ascii="黑体" w:hAnsi="黑体" w:eastAsia="黑体" w:cs="黑体"/>
                <w:color w:val="auto"/>
                <w:szCs w:val="21"/>
              </w:rPr>
              <w:t>图</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b/>
                <w:bCs w:val="0"/>
                <w:color w:val="auto"/>
                <w:szCs w:val="21"/>
                <w:lang w:eastAsia="zh-CN"/>
              </w:rPr>
            </w:pPr>
            <w:r>
              <w:rPr>
                <w:rFonts w:hint="eastAsia" w:asciiTheme="minorEastAsia" w:hAnsiTheme="minorEastAsia" w:eastAsiaTheme="minorEastAsia" w:cstheme="minorEastAsia"/>
                <w:b/>
                <w:bCs w:val="0"/>
                <w:color w:val="auto"/>
                <w:szCs w:val="21"/>
                <w:lang w:eastAsia="zh-CN"/>
              </w:rPr>
              <w:t>二、</w:t>
            </w:r>
            <w:r>
              <w:rPr>
                <w:rFonts w:hint="eastAsia" w:asciiTheme="minorEastAsia" w:hAnsiTheme="minorEastAsia" w:eastAsiaTheme="minorEastAsia" w:cstheme="minorEastAsia"/>
                <w:b/>
                <w:bCs w:val="0"/>
                <w:color w:val="auto"/>
                <w:szCs w:val="21"/>
              </w:rPr>
              <w:t>施工</w:t>
            </w:r>
            <w:r>
              <w:rPr>
                <w:rFonts w:hint="eastAsia" w:asciiTheme="minorEastAsia" w:hAnsiTheme="minorEastAsia" w:eastAsiaTheme="minorEastAsia" w:cstheme="minorEastAsia"/>
                <w:b/>
                <w:bCs w:val="0"/>
                <w:color w:val="auto"/>
                <w:szCs w:val="21"/>
                <w:lang w:eastAsia="zh-CN"/>
              </w:rPr>
              <w:t>方法</w:t>
            </w:r>
          </w:p>
          <w:p>
            <w:pPr>
              <w:adjustRightInd w:val="0"/>
              <w:snapToGrid w:val="0"/>
              <w:spacing w:line="360" w:lineRule="auto"/>
              <w:ind w:firstLine="420" w:firstLineChars="200"/>
              <w:jc w:val="left"/>
              <w:rPr>
                <w:rFonts w:hint="eastAsia" w:eastAsia="宋体"/>
                <w:color w:val="auto"/>
                <w:szCs w:val="21"/>
                <w:lang w:eastAsia="zh-CN"/>
              </w:rPr>
            </w:pPr>
            <w:r>
              <w:rPr>
                <w:rFonts w:hint="eastAsia"/>
                <w:color w:val="auto"/>
                <w:szCs w:val="21"/>
                <w:lang w:eastAsia="zh-CN"/>
              </w:rPr>
              <w:t>（</w:t>
            </w:r>
            <w:r>
              <w:rPr>
                <w:rFonts w:hint="eastAsia"/>
                <w:color w:val="auto"/>
                <w:szCs w:val="21"/>
                <w:lang w:val="en-US" w:eastAsia="zh-CN"/>
              </w:rPr>
              <w:t>1</w:t>
            </w:r>
            <w:r>
              <w:rPr>
                <w:rFonts w:hint="eastAsia"/>
                <w:color w:val="auto"/>
                <w:szCs w:val="21"/>
                <w:lang w:eastAsia="zh-CN"/>
              </w:rPr>
              <w:t>）施工导流</w:t>
            </w:r>
          </w:p>
          <w:p>
            <w:pPr>
              <w:adjustRightInd w:val="0"/>
              <w:snapToGrid w:val="0"/>
              <w:spacing w:line="360" w:lineRule="auto"/>
              <w:ind w:firstLine="420" w:firstLineChars="200"/>
              <w:jc w:val="left"/>
              <w:rPr>
                <w:rFonts w:hint="eastAsia"/>
                <w:color w:val="auto"/>
                <w:szCs w:val="21"/>
              </w:rPr>
            </w:pPr>
            <w:r>
              <w:rPr>
                <w:rFonts w:hint="eastAsia"/>
                <w:color w:val="auto"/>
                <w:szCs w:val="21"/>
                <w:lang w:eastAsia="zh-CN"/>
              </w:rPr>
              <w:t>本</w:t>
            </w:r>
            <w:r>
              <w:rPr>
                <w:rFonts w:hint="eastAsia"/>
                <w:color w:val="auto"/>
                <w:szCs w:val="21"/>
              </w:rPr>
              <w:t>工程拟采用导流明渠方式进行导流。</w:t>
            </w:r>
          </w:p>
          <w:p>
            <w:pPr>
              <w:adjustRightInd w:val="0"/>
              <w:snapToGrid w:val="0"/>
              <w:spacing w:line="360" w:lineRule="auto"/>
              <w:ind w:firstLine="420" w:firstLineChars="200"/>
              <w:jc w:val="left"/>
              <w:rPr>
                <w:color w:val="auto"/>
                <w:szCs w:val="21"/>
              </w:rPr>
            </w:pPr>
            <w:r>
              <w:rPr>
                <w:rFonts w:hint="eastAsia"/>
                <w:color w:val="auto"/>
                <w:szCs w:val="21"/>
              </w:rPr>
              <w:t>岚河九台村段、武学村二组瓦西沟口右岸段、柏杨林村三组石滚坝右岸段、桃园村二组四方地河坝左岸段、西河村一组猕猴桃园区左岸段、龙安村龙安电站左岸段采用明渠导流，导流渠深4m，底宽5m，边坡坡比为1:1。</w:t>
            </w:r>
          </w:p>
          <w:p>
            <w:pPr>
              <w:adjustRightInd w:val="0"/>
              <w:snapToGrid w:val="0"/>
              <w:spacing w:line="360" w:lineRule="auto"/>
              <w:ind w:firstLine="420" w:firstLineChars="200"/>
              <w:jc w:val="left"/>
              <w:rPr>
                <w:color w:val="auto"/>
                <w:szCs w:val="21"/>
              </w:rPr>
            </w:pPr>
            <w:r>
              <w:rPr>
                <w:rFonts w:hint="eastAsia"/>
                <w:color w:val="auto"/>
                <w:szCs w:val="21"/>
              </w:rPr>
              <w:t>西河村二组右岸段、大盘河新生村左岸段施采用明渠导流，导流渠深2m，底宽2m，边坡坡比为1:1。</w:t>
            </w:r>
          </w:p>
          <w:p>
            <w:pPr>
              <w:adjustRightInd w:val="0"/>
              <w:snapToGrid w:val="0"/>
              <w:spacing w:line="360" w:lineRule="auto"/>
              <w:ind w:firstLine="420" w:firstLineChars="200"/>
              <w:jc w:val="left"/>
              <w:rPr>
                <w:color w:val="auto"/>
                <w:szCs w:val="21"/>
              </w:rPr>
            </w:pPr>
            <w:r>
              <w:rPr>
                <w:rFonts w:hint="eastAsia"/>
                <w:color w:val="auto"/>
                <w:szCs w:val="21"/>
              </w:rPr>
              <w:t>基础开挖过程中的基坑渗水和雨水组成的经常性排水量较大影响正常施工。基础开挖形成后，随着开挖的不断加大，延断面设置集水沟、集水坑，水由集水沟排入集水坑，采用WQ65-15-5.5型污水潜水泵进行抽排，每段设基坑排水泵2台，共16台，共计需要设置263个排水台班</w:t>
            </w:r>
            <w:r>
              <w:rPr>
                <w:color w:val="auto"/>
                <w:szCs w:val="21"/>
              </w:rPr>
              <w:t>。</w:t>
            </w:r>
          </w:p>
          <w:p>
            <w:pPr>
              <w:adjustRightInd w:val="0"/>
              <w:snapToGrid w:val="0"/>
              <w:spacing w:line="360" w:lineRule="auto"/>
              <w:ind w:firstLine="420" w:firstLineChars="200"/>
              <w:jc w:val="left"/>
              <w:rPr>
                <w:color w:val="auto"/>
                <w:szCs w:val="21"/>
              </w:rPr>
            </w:pPr>
            <w:r>
              <w:rPr>
                <w:rFonts w:hint="eastAsia"/>
                <w:color w:val="auto"/>
                <w:szCs w:val="21"/>
                <w:lang w:eastAsia="zh-CN"/>
              </w:rPr>
              <w:t>（</w:t>
            </w:r>
            <w:r>
              <w:rPr>
                <w:rFonts w:hint="eastAsia"/>
                <w:color w:val="auto"/>
                <w:szCs w:val="21"/>
                <w:lang w:val="en-US" w:eastAsia="zh-CN"/>
              </w:rPr>
              <w:t>2</w:t>
            </w:r>
            <w:r>
              <w:rPr>
                <w:rFonts w:hint="eastAsia"/>
                <w:color w:val="auto"/>
                <w:szCs w:val="21"/>
                <w:lang w:eastAsia="zh-CN"/>
              </w:rPr>
              <w:t>）</w:t>
            </w:r>
            <w:r>
              <w:rPr>
                <w:color w:val="auto"/>
                <w:szCs w:val="21"/>
              </w:rPr>
              <w:t>主体工程施工</w:t>
            </w:r>
          </w:p>
          <w:p>
            <w:pPr>
              <w:adjustRightInd w:val="0"/>
              <w:snapToGrid w:val="0"/>
              <w:spacing w:line="360" w:lineRule="auto"/>
              <w:ind w:firstLine="420" w:firstLineChars="200"/>
              <w:jc w:val="left"/>
              <w:rPr>
                <w:color w:val="auto"/>
                <w:szCs w:val="21"/>
              </w:rPr>
            </w:pPr>
            <w:r>
              <w:rPr>
                <w:color w:val="auto"/>
                <w:szCs w:val="21"/>
              </w:rPr>
              <w:t>基槽开挖</w:t>
            </w:r>
            <w:r>
              <w:rPr>
                <w:rFonts w:hint="eastAsia"/>
                <w:color w:val="auto"/>
                <w:szCs w:val="21"/>
                <w:lang w:eastAsia="zh-CN"/>
              </w:rPr>
              <w:t>：</w:t>
            </w:r>
            <w:r>
              <w:rPr>
                <w:color w:val="auto"/>
                <w:szCs w:val="21"/>
              </w:rPr>
              <w:t>采取挖掘机与人工相结合的开挖方式，为了不扰动槽底，当挖掘机挖至距槽底300mm处时，人工挖掘剩余的土方。</w:t>
            </w:r>
          </w:p>
          <w:p>
            <w:pPr>
              <w:adjustRightInd w:val="0"/>
              <w:snapToGrid w:val="0"/>
              <w:spacing w:line="360" w:lineRule="auto"/>
              <w:ind w:firstLine="420" w:firstLineChars="200"/>
              <w:jc w:val="left"/>
              <w:rPr>
                <w:color w:val="auto"/>
                <w:szCs w:val="21"/>
              </w:rPr>
            </w:pPr>
            <w:r>
              <w:rPr>
                <w:color w:val="auto"/>
                <w:szCs w:val="21"/>
              </w:rPr>
              <w:t>基础回填处理</w:t>
            </w:r>
            <w:r>
              <w:rPr>
                <w:rFonts w:hint="eastAsia"/>
                <w:color w:val="auto"/>
                <w:szCs w:val="21"/>
                <w:lang w:eastAsia="zh-CN"/>
              </w:rPr>
              <w:t>：</w:t>
            </w:r>
            <w:r>
              <w:rPr>
                <w:color w:val="auto"/>
                <w:szCs w:val="21"/>
              </w:rPr>
              <w:t>挖至槽底标高后，晾槽，回填砂砾石，然后进行碾压夯实。</w:t>
            </w:r>
          </w:p>
          <w:p>
            <w:pPr>
              <w:adjustRightInd w:val="0"/>
              <w:snapToGrid w:val="0"/>
              <w:spacing w:line="360" w:lineRule="auto"/>
              <w:ind w:firstLine="420" w:firstLineChars="200"/>
              <w:jc w:val="left"/>
              <w:rPr>
                <w:color w:val="auto"/>
                <w:szCs w:val="21"/>
              </w:rPr>
            </w:pPr>
            <w:r>
              <w:rPr>
                <w:rFonts w:hint="eastAsia"/>
                <w:color w:val="auto"/>
                <w:szCs w:val="21"/>
              </w:rPr>
              <w:t>埋石混凝土</w:t>
            </w:r>
            <w:r>
              <w:rPr>
                <w:color w:val="auto"/>
                <w:szCs w:val="21"/>
              </w:rPr>
              <w:t>工程</w:t>
            </w:r>
            <w:r>
              <w:rPr>
                <w:rFonts w:hint="eastAsia"/>
                <w:color w:val="auto"/>
                <w:szCs w:val="21"/>
              </w:rPr>
              <w:t>施工顺序：施工准备→测量放样→基面清理→模板安装→埋石混凝土浇筑→伸缩缝处理→混凝土拆模养护。</w:t>
            </w:r>
          </w:p>
          <w:p>
            <w:pPr>
              <w:adjustRightInd w:val="0"/>
              <w:snapToGrid w:val="0"/>
              <w:spacing w:line="360" w:lineRule="auto"/>
              <w:ind w:firstLine="420" w:firstLineChars="200"/>
              <w:jc w:val="left"/>
              <w:rPr>
                <w:color w:val="auto"/>
                <w:szCs w:val="21"/>
              </w:rPr>
            </w:pPr>
            <w:r>
              <w:rPr>
                <w:color w:val="auto"/>
                <w:szCs w:val="21"/>
              </w:rPr>
              <w:t>回填工程</w:t>
            </w:r>
            <w:r>
              <w:rPr>
                <w:rFonts w:hint="eastAsia"/>
                <w:color w:val="auto"/>
                <w:szCs w:val="21"/>
                <w:lang w:eastAsia="zh-CN"/>
              </w:rPr>
              <w:t>：</w:t>
            </w:r>
            <w:r>
              <w:rPr>
                <w:color w:val="auto"/>
                <w:szCs w:val="21"/>
              </w:rPr>
              <w:t>基础及堤防填土用挖掘机装开挖料至工作面，振动碾碾压密实。碾压采用分层压实并达到设计规定的压实标准要求，铺料厚度控制在20cm～30cm之间。</w:t>
            </w:r>
          </w:p>
          <w:p>
            <w:pPr>
              <w:adjustRightInd w:val="0"/>
              <w:snapToGrid w:val="0"/>
              <w:spacing w:line="360" w:lineRule="auto"/>
              <w:ind w:firstLine="420" w:firstLineChars="200"/>
              <w:jc w:val="left"/>
              <w:rPr>
                <w:color w:val="auto"/>
                <w:szCs w:val="21"/>
              </w:rPr>
            </w:pPr>
            <w:r>
              <w:rPr>
                <w:rFonts w:hint="eastAsia"/>
                <w:color w:val="auto"/>
                <w:szCs w:val="21"/>
                <w:lang w:val="en-US" w:eastAsia="zh-CN"/>
              </w:rPr>
              <w:t>（3）围堰拆除</w:t>
            </w:r>
          </w:p>
          <w:p>
            <w:pPr>
              <w:adjustRightInd w:val="0"/>
              <w:snapToGrid w:val="0"/>
              <w:spacing w:line="360" w:lineRule="auto"/>
              <w:ind w:firstLine="420" w:firstLineChars="200"/>
              <w:jc w:val="left"/>
              <w:rPr>
                <w:rFonts w:hint="eastAsia"/>
                <w:color w:val="auto"/>
                <w:lang w:eastAsia="zh-CN"/>
              </w:rPr>
            </w:pPr>
            <w:r>
              <w:rPr>
                <w:rFonts w:hint="eastAsia"/>
                <w:color w:val="auto"/>
                <w:szCs w:val="21"/>
                <w:lang w:val="en-US" w:eastAsia="zh-CN"/>
              </w:rPr>
              <w:t>水下工程全部结束后方可拆除围堰，拆除前，应先向河道内灌水以保持围堰内外水位基本持平。然后，用挖掘机将围堰水上部位的土方挖出，对围堰水下土方，将采用抓式挖泥船进行开挖，自卸汽车将土方运至堤身填筑部位进行填筑。</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bCs w:val="0"/>
                <w:color w:val="auto"/>
                <w:szCs w:val="21"/>
                <w:lang w:val="en-US" w:eastAsia="zh-CN"/>
              </w:rPr>
            </w:pPr>
            <w:r>
              <w:rPr>
                <w:rFonts w:hint="eastAsia" w:ascii="宋体" w:hAnsi="宋体" w:eastAsia="宋体" w:cs="宋体"/>
                <w:b/>
                <w:bCs w:val="0"/>
                <w:color w:val="auto"/>
                <w:szCs w:val="21"/>
                <w:lang w:val="en-US" w:eastAsia="zh-CN"/>
              </w:rPr>
              <w:t>三、施工条件</w:t>
            </w:r>
          </w:p>
          <w:p>
            <w:pPr>
              <w:adjustRightInd w:val="0"/>
              <w:snapToGrid w:val="0"/>
              <w:spacing w:line="360" w:lineRule="auto"/>
              <w:ind w:firstLine="420" w:firstLineChars="200"/>
              <w:jc w:val="left"/>
              <w:rPr>
                <w:color w:val="auto"/>
                <w:szCs w:val="21"/>
              </w:rPr>
            </w:pPr>
            <w:r>
              <w:rPr>
                <w:rFonts w:hint="eastAsia"/>
                <w:color w:val="auto"/>
                <w:szCs w:val="21"/>
              </w:rPr>
              <w:t>本工程各段分别位于孟石岭镇、南宫山镇、石门镇，项目区区内有国道G541、X215县道等公路；项目区交通便利，施工条件较好。</w:t>
            </w:r>
          </w:p>
          <w:p>
            <w:pPr>
              <w:adjustRightInd w:val="0"/>
              <w:snapToGrid w:val="0"/>
              <w:spacing w:line="360" w:lineRule="auto"/>
              <w:ind w:firstLine="420" w:firstLineChars="200"/>
              <w:jc w:val="left"/>
              <w:rPr>
                <w:color w:val="auto"/>
                <w:szCs w:val="21"/>
              </w:rPr>
            </w:pPr>
            <w:r>
              <w:rPr>
                <w:rFonts w:hint="eastAsia"/>
                <w:color w:val="auto"/>
                <w:szCs w:val="21"/>
              </w:rPr>
              <w:t>工程区</w:t>
            </w:r>
            <w:r>
              <w:rPr>
                <w:color w:val="auto"/>
                <w:szCs w:val="21"/>
              </w:rPr>
              <w:t>人口聚集区，照明电、饮用水可就近协商解决。施工用水采用就近抽取河水经澄清后的使用，</w:t>
            </w:r>
          </w:p>
          <w:p>
            <w:pPr>
              <w:adjustRightInd w:val="0"/>
              <w:snapToGrid w:val="0"/>
              <w:spacing w:line="360" w:lineRule="auto"/>
              <w:ind w:firstLine="420" w:firstLineChars="200"/>
              <w:jc w:val="left"/>
              <w:rPr>
                <w:color w:val="auto"/>
                <w:szCs w:val="21"/>
              </w:rPr>
            </w:pPr>
            <w:r>
              <w:rPr>
                <w:color w:val="auto"/>
                <w:szCs w:val="21"/>
              </w:rPr>
              <w:t>工程区靠近村庄已有10KV农电网以及乡镇380V、220V配电线路，施工用电可由当地电网接入。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bCs w:val="0"/>
                <w:color w:val="auto"/>
                <w:szCs w:val="21"/>
                <w:lang w:val="en-US" w:eastAsia="zh-CN"/>
              </w:rPr>
            </w:pPr>
            <w:r>
              <w:rPr>
                <w:rFonts w:hint="eastAsia" w:ascii="宋体" w:hAnsi="宋体" w:cs="宋体"/>
                <w:b/>
                <w:bCs w:val="0"/>
                <w:color w:val="auto"/>
                <w:szCs w:val="21"/>
                <w:lang w:val="en-US" w:eastAsia="zh-CN"/>
              </w:rPr>
              <w:t>四</w:t>
            </w:r>
            <w:r>
              <w:rPr>
                <w:rFonts w:hint="eastAsia" w:ascii="宋体" w:hAnsi="宋体" w:eastAsia="宋体" w:cs="宋体"/>
                <w:b/>
                <w:bCs w:val="0"/>
                <w:color w:val="auto"/>
                <w:szCs w:val="21"/>
                <w:lang w:val="en-US" w:eastAsia="zh-CN"/>
              </w:rPr>
              <w:t>、施工周期及建设时序</w:t>
            </w:r>
          </w:p>
          <w:p>
            <w:pPr>
              <w:adjustRightInd w:val="0"/>
              <w:snapToGrid w:val="0"/>
              <w:spacing w:line="360" w:lineRule="auto"/>
              <w:ind w:firstLine="420" w:firstLineChars="200"/>
              <w:jc w:val="left"/>
              <w:rPr>
                <w:color w:val="auto"/>
                <w:szCs w:val="21"/>
              </w:rPr>
            </w:pPr>
            <w:r>
              <w:rPr>
                <w:color w:val="auto"/>
                <w:szCs w:val="21"/>
              </w:rPr>
              <w:t>根据本工程特征及不同阶段施工特点及施工条件，施工以机械为主，人工为辅的原则。施工总工期确定为</w:t>
            </w:r>
            <w:r>
              <w:rPr>
                <w:rFonts w:hint="eastAsia"/>
                <w:color w:val="auto"/>
                <w:szCs w:val="21"/>
              </w:rPr>
              <w:t>8</w:t>
            </w:r>
            <w:r>
              <w:rPr>
                <w:color w:val="auto"/>
                <w:szCs w:val="21"/>
              </w:rPr>
              <w:t>个月，拟于20</w:t>
            </w:r>
            <w:r>
              <w:rPr>
                <w:rFonts w:hint="eastAsia"/>
                <w:color w:val="auto"/>
                <w:szCs w:val="21"/>
              </w:rPr>
              <w:t>22</w:t>
            </w:r>
            <w:r>
              <w:rPr>
                <w:color w:val="auto"/>
                <w:szCs w:val="21"/>
              </w:rPr>
              <w:t>年</w:t>
            </w:r>
            <w:r>
              <w:rPr>
                <w:rFonts w:hint="eastAsia"/>
                <w:color w:val="auto"/>
                <w:szCs w:val="21"/>
              </w:rPr>
              <w:t>10</w:t>
            </w:r>
            <w:r>
              <w:rPr>
                <w:color w:val="auto"/>
                <w:szCs w:val="21"/>
              </w:rPr>
              <w:t>月开工，</w:t>
            </w:r>
            <w:r>
              <w:rPr>
                <w:rFonts w:hint="eastAsia"/>
                <w:color w:val="auto"/>
                <w:szCs w:val="21"/>
              </w:rPr>
              <w:t>2023</w:t>
            </w:r>
            <w:r>
              <w:rPr>
                <w:color w:val="auto"/>
                <w:szCs w:val="21"/>
              </w:rPr>
              <w:t>年</w:t>
            </w:r>
            <w:r>
              <w:rPr>
                <w:rFonts w:hint="eastAsia"/>
                <w:color w:val="auto"/>
                <w:szCs w:val="21"/>
              </w:rPr>
              <w:t>5</w:t>
            </w:r>
            <w:r>
              <w:rPr>
                <w:color w:val="auto"/>
                <w:szCs w:val="21"/>
              </w:rPr>
              <w:t>月份建成。施工期划分为三个阶段：</w:t>
            </w:r>
          </w:p>
          <w:p>
            <w:pPr>
              <w:adjustRightInd w:val="0"/>
              <w:snapToGrid w:val="0"/>
              <w:spacing w:line="360" w:lineRule="auto"/>
              <w:ind w:firstLine="420" w:firstLineChars="200"/>
              <w:jc w:val="left"/>
              <w:rPr>
                <w:color w:val="auto"/>
                <w:szCs w:val="21"/>
              </w:rPr>
            </w:pPr>
            <w:r>
              <w:rPr>
                <w:color w:val="auto"/>
                <w:szCs w:val="21"/>
              </w:rPr>
              <w:t>（1）</w:t>
            </w:r>
            <w:r>
              <w:rPr>
                <w:rFonts w:hint="eastAsia"/>
                <w:color w:val="auto"/>
                <w:szCs w:val="21"/>
                <w:lang w:val="en-US" w:eastAsia="zh-CN"/>
              </w:rPr>
              <w:t>第一阶段。</w:t>
            </w:r>
            <w:r>
              <w:rPr>
                <w:color w:val="auto"/>
                <w:szCs w:val="21"/>
              </w:rPr>
              <w:t>施工准备期</w:t>
            </w:r>
            <w:r>
              <w:rPr>
                <w:rFonts w:hint="eastAsia"/>
                <w:color w:val="auto"/>
                <w:szCs w:val="21"/>
                <w:lang w:eastAsia="zh-CN"/>
              </w:rPr>
              <w:t>，</w:t>
            </w:r>
            <w:r>
              <w:rPr>
                <w:color w:val="auto"/>
                <w:szCs w:val="21"/>
              </w:rPr>
              <w:t>主要为主体工程施工做必要的准备。准备工期为1个月，安排在</w:t>
            </w:r>
            <w:r>
              <w:rPr>
                <w:rFonts w:hint="eastAsia"/>
                <w:color w:val="auto"/>
                <w:szCs w:val="21"/>
              </w:rPr>
              <w:t>2022</w:t>
            </w:r>
            <w:r>
              <w:rPr>
                <w:color w:val="auto"/>
                <w:szCs w:val="21"/>
              </w:rPr>
              <w:t>年</w:t>
            </w:r>
            <w:r>
              <w:rPr>
                <w:rFonts w:hint="eastAsia"/>
                <w:color w:val="auto"/>
                <w:szCs w:val="21"/>
              </w:rPr>
              <w:t>10</w:t>
            </w:r>
            <w:r>
              <w:rPr>
                <w:color w:val="auto"/>
                <w:szCs w:val="21"/>
              </w:rPr>
              <w:t>月。</w:t>
            </w:r>
          </w:p>
          <w:p>
            <w:pPr>
              <w:adjustRightInd w:val="0"/>
              <w:snapToGrid w:val="0"/>
              <w:spacing w:line="360" w:lineRule="auto"/>
              <w:ind w:firstLine="420" w:firstLineChars="200"/>
              <w:jc w:val="left"/>
              <w:rPr>
                <w:color w:val="auto"/>
                <w:szCs w:val="21"/>
              </w:rPr>
            </w:pPr>
            <w:r>
              <w:rPr>
                <w:color w:val="auto"/>
                <w:szCs w:val="21"/>
              </w:rPr>
              <w:t>（2）</w:t>
            </w:r>
            <w:r>
              <w:rPr>
                <w:rFonts w:hint="eastAsia"/>
                <w:color w:val="auto"/>
                <w:szCs w:val="21"/>
                <w:lang w:val="en-US" w:eastAsia="zh-CN"/>
              </w:rPr>
              <w:t>第二阶段：</w:t>
            </w:r>
            <w:r>
              <w:rPr>
                <w:color w:val="auto"/>
                <w:szCs w:val="21"/>
              </w:rPr>
              <w:t>主体工程施工期按照基坑开挖、抽排水、砌筑基础、基槽回填、堤身</w:t>
            </w:r>
            <w:r>
              <w:rPr>
                <w:rFonts w:hint="eastAsia"/>
                <w:color w:val="auto"/>
                <w:szCs w:val="21"/>
              </w:rPr>
              <w:t>砌（浇）筑</w:t>
            </w:r>
            <w:r>
              <w:rPr>
                <w:color w:val="auto"/>
                <w:szCs w:val="21"/>
              </w:rPr>
              <w:t>、</w:t>
            </w:r>
            <w:r>
              <w:rPr>
                <w:rFonts w:hint="eastAsia"/>
                <w:color w:val="auto"/>
                <w:szCs w:val="21"/>
              </w:rPr>
              <w:t>堤背回填</w:t>
            </w:r>
            <w:r>
              <w:rPr>
                <w:color w:val="auto"/>
                <w:szCs w:val="21"/>
              </w:rPr>
              <w:t>以及附属设施等顺序</w:t>
            </w:r>
            <w:r>
              <w:rPr>
                <w:rFonts w:hint="eastAsia"/>
                <w:color w:val="auto"/>
                <w:szCs w:val="21"/>
                <w:lang w:eastAsia="zh-CN"/>
              </w:rPr>
              <w:t>。</w:t>
            </w:r>
            <w:r>
              <w:rPr>
                <w:color w:val="auto"/>
                <w:szCs w:val="21"/>
              </w:rPr>
              <w:t>施工期为</w:t>
            </w:r>
            <w:r>
              <w:rPr>
                <w:rFonts w:hint="eastAsia"/>
                <w:color w:val="auto"/>
                <w:szCs w:val="21"/>
              </w:rPr>
              <w:t>6</w:t>
            </w:r>
            <w:r>
              <w:rPr>
                <w:color w:val="auto"/>
                <w:szCs w:val="21"/>
              </w:rPr>
              <w:t>个月，安排</w:t>
            </w:r>
            <w:r>
              <w:rPr>
                <w:rFonts w:hint="eastAsia"/>
                <w:color w:val="auto"/>
                <w:szCs w:val="21"/>
              </w:rPr>
              <w:t>2022</w:t>
            </w:r>
            <w:r>
              <w:rPr>
                <w:color w:val="auto"/>
                <w:szCs w:val="21"/>
              </w:rPr>
              <w:t>年</w:t>
            </w:r>
            <w:r>
              <w:rPr>
                <w:rFonts w:hint="eastAsia"/>
                <w:color w:val="auto"/>
                <w:szCs w:val="21"/>
              </w:rPr>
              <w:t>11</w:t>
            </w:r>
            <w:r>
              <w:rPr>
                <w:color w:val="auto"/>
                <w:szCs w:val="21"/>
              </w:rPr>
              <w:t>月～</w:t>
            </w:r>
            <w:r>
              <w:rPr>
                <w:rFonts w:hint="eastAsia"/>
                <w:color w:val="auto"/>
                <w:szCs w:val="21"/>
              </w:rPr>
              <w:t>2023</w:t>
            </w:r>
            <w:r>
              <w:rPr>
                <w:color w:val="auto"/>
                <w:szCs w:val="21"/>
              </w:rPr>
              <w:t>年</w:t>
            </w:r>
            <w:r>
              <w:rPr>
                <w:rFonts w:hint="eastAsia"/>
                <w:color w:val="auto"/>
                <w:szCs w:val="21"/>
              </w:rPr>
              <w:t>4</w:t>
            </w:r>
            <w:r>
              <w:rPr>
                <w:color w:val="auto"/>
                <w:szCs w:val="21"/>
              </w:rPr>
              <w:t>月</w:t>
            </w:r>
          </w:p>
          <w:p>
            <w:pPr>
              <w:adjustRightInd w:val="0"/>
              <w:snapToGrid w:val="0"/>
              <w:spacing w:line="360" w:lineRule="auto"/>
              <w:ind w:firstLine="420" w:firstLineChars="200"/>
              <w:jc w:val="left"/>
              <w:rPr>
                <w:rFonts w:ascii="Times New Roman" w:hAnsi="Times New Roman" w:eastAsia="宋体" w:cs="Times New Roman"/>
                <w:color w:val="auto"/>
                <w:kern w:val="0"/>
                <w:sz w:val="21"/>
                <w:szCs w:val="21"/>
                <w:lang w:val="en-US" w:eastAsia="zh-CN" w:bidi="ar-SA"/>
              </w:rPr>
            </w:pPr>
            <w:r>
              <w:rPr>
                <w:color w:val="auto"/>
                <w:szCs w:val="21"/>
              </w:rPr>
              <w:t>（3）</w:t>
            </w:r>
            <w:r>
              <w:rPr>
                <w:rFonts w:hint="eastAsia"/>
                <w:color w:val="auto"/>
                <w:szCs w:val="21"/>
                <w:lang w:val="en-US" w:eastAsia="zh-CN"/>
              </w:rPr>
              <w:t>第三阶段。</w:t>
            </w:r>
            <w:r>
              <w:rPr>
                <w:color w:val="auto"/>
                <w:szCs w:val="21"/>
              </w:rPr>
              <w:t>竣工验收</w:t>
            </w:r>
            <w:r>
              <w:rPr>
                <w:rFonts w:hint="eastAsia"/>
                <w:color w:val="auto"/>
                <w:szCs w:val="21"/>
                <w:lang w:eastAsia="zh-CN"/>
              </w:rPr>
              <w:t>，</w:t>
            </w:r>
            <w:r>
              <w:rPr>
                <w:color w:val="auto"/>
                <w:szCs w:val="21"/>
              </w:rPr>
              <w:t>完成施工场地的清理和整修等，安排在</w:t>
            </w:r>
            <w:r>
              <w:rPr>
                <w:rFonts w:hint="eastAsia"/>
                <w:color w:val="auto"/>
                <w:szCs w:val="21"/>
              </w:rPr>
              <w:t>2023</w:t>
            </w:r>
            <w:r>
              <w:rPr>
                <w:color w:val="auto"/>
                <w:szCs w:val="21"/>
              </w:rPr>
              <w:t>年</w:t>
            </w:r>
            <w:r>
              <w:rPr>
                <w:rFonts w:hint="eastAsia"/>
                <w:color w:val="auto"/>
                <w:szCs w:val="21"/>
              </w:rPr>
              <w:t>5</w:t>
            </w:r>
            <w:r>
              <w:rPr>
                <w:color w:val="auto"/>
                <w:szCs w:val="21"/>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0" w:type="dxa"/>
            <w:vAlign w:val="center"/>
          </w:tcPr>
          <w:p>
            <w:pPr>
              <w:adjustRightInd w:val="0"/>
              <w:snapToGrid w:val="0"/>
              <w:jc w:val="center"/>
              <w:rPr>
                <w:rFonts w:ascii="Times New Roman" w:hAnsi="Times New Roman" w:eastAsia="宋体" w:cs="Times New Roman"/>
                <w:color w:val="auto"/>
                <w:kern w:val="0"/>
                <w:sz w:val="21"/>
                <w:szCs w:val="21"/>
                <w:lang w:val="en-US" w:eastAsia="zh-CN" w:bidi="ar-SA"/>
              </w:rPr>
            </w:pPr>
            <w:r>
              <w:rPr>
                <w:color w:val="auto"/>
                <w:kern w:val="0"/>
                <w:szCs w:val="21"/>
              </w:rPr>
              <w:t>其他</w:t>
            </w:r>
          </w:p>
        </w:tc>
        <w:tc>
          <w:tcPr>
            <w:tcW w:w="8380" w:type="dxa"/>
            <w:vAlign w:val="center"/>
          </w:tcPr>
          <w:p>
            <w:pPr>
              <w:adjustRightInd w:val="0"/>
              <w:snapToGrid w:val="0"/>
              <w:spacing w:line="360" w:lineRule="auto"/>
              <w:ind w:firstLine="420" w:firstLineChars="200"/>
              <w:jc w:val="left"/>
              <w:rPr>
                <w:rFonts w:ascii="Times New Roman" w:hAnsi="Times New Roman" w:eastAsia="宋体" w:cs="Times New Roman"/>
                <w:color w:val="auto"/>
                <w:kern w:val="0"/>
                <w:sz w:val="21"/>
                <w:szCs w:val="21"/>
                <w:lang w:val="en-US" w:eastAsia="zh-CN" w:bidi="ar-SA"/>
              </w:rPr>
            </w:pPr>
            <w:r>
              <w:rPr>
                <w:rFonts w:hint="eastAsia"/>
                <w:color w:val="auto"/>
                <w:szCs w:val="21"/>
                <w:lang w:val="en-US" w:eastAsia="zh-CN"/>
              </w:rPr>
              <w:t>项目选址根据保护范围已经选定的位置确定，因此无需进行比选。</w:t>
            </w:r>
          </w:p>
        </w:tc>
      </w:tr>
    </w:tbl>
    <w:p>
      <w:pPr>
        <w:pStyle w:val="15"/>
        <w:jc w:val="center"/>
        <w:outlineLvl w:val="0"/>
        <w:rPr>
          <w:rFonts w:ascii="Times New Roman" w:hAnsi="Times New Roman" w:eastAsia="黑体"/>
          <w:snapToGrid w:val="0"/>
          <w:color w:val="auto"/>
          <w:sz w:val="30"/>
          <w:szCs w:val="30"/>
        </w:rPr>
      </w:pPr>
      <w:r>
        <w:rPr>
          <w:rFonts w:ascii="Times New Roman" w:hAnsi="Times New Roman" w:eastAsia="仿宋_GB2312"/>
          <w:b/>
          <w:bCs/>
          <w:color w:val="auto"/>
        </w:rPr>
        <w:br w:type="page"/>
      </w:r>
      <w:r>
        <w:rPr>
          <w:rFonts w:ascii="Times New Roman" w:hAnsi="Times New Roman" w:eastAsia="黑体"/>
          <w:snapToGrid w:val="0"/>
          <w:color w:val="auto"/>
          <w:sz w:val="30"/>
          <w:szCs w:val="30"/>
        </w:rPr>
        <w:t>三、生态环境现状、保护目标及评价标准</w:t>
      </w:r>
    </w:p>
    <w:tbl>
      <w:tblPr>
        <w:tblStyle w:val="18"/>
        <w:tblW w:w="91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4"/>
        <w:gridCol w:w="82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904" w:type="dxa"/>
            <w:vAlign w:val="center"/>
          </w:tcPr>
          <w:p>
            <w:pPr>
              <w:adjustRightInd w:val="0"/>
              <w:snapToGrid w:val="0"/>
              <w:jc w:val="center"/>
              <w:rPr>
                <w:color w:val="auto"/>
                <w:kern w:val="0"/>
                <w:szCs w:val="21"/>
              </w:rPr>
            </w:pPr>
            <w:r>
              <w:rPr>
                <w:color w:val="auto"/>
                <w:kern w:val="0"/>
                <w:szCs w:val="21"/>
              </w:rPr>
              <w:t>生态环境现状</w:t>
            </w:r>
          </w:p>
        </w:tc>
        <w:tc>
          <w:tcPr>
            <w:tcW w:w="8253" w:type="dxa"/>
            <w:vAlign w:val="center"/>
          </w:tcPr>
          <w:p>
            <w:pPr>
              <w:spacing w:line="360" w:lineRule="auto"/>
              <w:jc w:val="left"/>
              <w:outlineLvl w:val="1"/>
              <w:rPr>
                <w:rFonts w:hint="eastAsia" w:eastAsia="宋体"/>
                <w:b/>
                <w:bCs/>
                <w:color w:val="auto"/>
                <w:lang w:val="en-US" w:eastAsia="zh-CN"/>
              </w:rPr>
            </w:pPr>
            <w:bookmarkStart w:id="3" w:name="_Toc494273214"/>
            <w:r>
              <w:rPr>
                <w:b/>
                <w:bCs/>
                <w:color w:val="auto"/>
              </w:rPr>
              <w:t>一、环境空气质量</w:t>
            </w:r>
            <w:bookmarkEnd w:id="3"/>
            <w:r>
              <w:rPr>
                <w:rFonts w:hint="eastAsia"/>
                <w:b/>
                <w:bCs/>
                <w:color w:val="auto"/>
                <w:lang w:val="en-US" w:eastAsia="zh-CN"/>
              </w:rPr>
              <w:t>现状</w:t>
            </w:r>
          </w:p>
          <w:p>
            <w:pPr>
              <w:spacing w:line="360" w:lineRule="auto"/>
              <w:ind w:firstLine="482"/>
              <w:rPr>
                <w:color w:val="auto"/>
              </w:rPr>
            </w:pPr>
            <w:bookmarkStart w:id="4" w:name="_Toc494273216"/>
            <w:r>
              <w:rPr>
                <w:color w:val="auto"/>
              </w:rPr>
              <w:t>1、基本污染物</w:t>
            </w:r>
          </w:p>
          <w:p>
            <w:pPr>
              <w:spacing w:line="360" w:lineRule="auto"/>
              <w:ind w:firstLine="420" w:firstLineChars="200"/>
              <w:rPr>
                <w:color w:val="auto"/>
              </w:rPr>
            </w:pPr>
            <w:r>
              <w:rPr>
                <w:color w:val="auto"/>
              </w:rPr>
              <w:t>根据202</w:t>
            </w:r>
            <w:r>
              <w:rPr>
                <w:rFonts w:hint="eastAsia"/>
                <w:color w:val="auto"/>
                <w:lang w:val="en-US" w:eastAsia="zh-CN"/>
              </w:rPr>
              <w:t>2</w:t>
            </w:r>
            <w:r>
              <w:rPr>
                <w:color w:val="auto"/>
              </w:rPr>
              <w:t>年1月</w:t>
            </w:r>
            <w:r>
              <w:rPr>
                <w:rFonts w:hint="eastAsia"/>
                <w:color w:val="auto"/>
                <w:lang w:val="en-US" w:eastAsia="zh-CN"/>
              </w:rPr>
              <w:t>20日</w:t>
            </w:r>
            <w:r>
              <w:rPr>
                <w:rFonts w:hint="eastAsia"/>
                <w:color w:val="auto"/>
                <w:lang w:eastAsia="zh-CN"/>
              </w:rPr>
              <w:t>安康市</w:t>
            </w:r>
            <w:r>
              <w:rPr>
                <w:color w:val="auto"/>
              </w:rPr>
              <w:t>生态环境</w:t>
            </w:r>
            <w:r>
              <w:rPr>
                <w:rFonts w:hint="eastAsia"/>
                <w:color w:val="auto"/>
                <w:lang w:eastAsia="zh-CN"/>
              </w:rPr>
              <w:t>局</w:t>
            </w:r>
            <w:r>
              <w:rPr>
                <w:color w:val="auto"/>
              </w:rPr>
              <w:t>发布的202</w:t>
            </w:r>
            <w:r>
              <w:rPr>
                <w:rFonts w:hint="eastAsia"/>
                <w:color w:val="auto"/>
                <w:lang w:val="en-US" w:eastAsia="zh-CN"/>
              </w:rPr>
              <w:t>1</w:t>
            </w:r>
            <w:r>
              <w:rPr>
                <w:color w:val="auto"/>
              </w:rPr>
              <w:t>年1~12月全</w:t>
            </w:r>
            <w:r>
              <w:rPr>
                <w:rFonts w:hint="eastAsia"/>
                <w:color w:val="auto"/>
                <w:lang w:eastAsia="zh-CN"/>
              </w:rPr>
              <w:t>市环境</w:t>
            </w:r>
            <w:r>
              <w:rPr>
                <w:color w:val="auto"/>
              </w:rPr>
              <w:t>空气质量状况快报判断项目区的达标情况。环境空气质量基本污染物SO2、NO2、PM2.5、PM10、CO、O3监测数据见表</w:t>
            </w:r>
            <w:r>
              <w:rPr>
                <w:rFonts w:hint="eastAsia"/>
                <w:color w:val="auto"/>
                <w:lang w:val="en-US" w:eastAsia="zh-CN"/>
              </w:rPr>
              <w:t>3-1</w:t>
            </w:r>
            <w:r>
              <w:rPr>
                <w:color w:val="auto"/>
              </w:rPr>
              <w:t>。</w:t>
            </w:r>
          </w:p>
          <w:p>
            <w:pPr>
              <w:pStyle w:val="46"/>
              <w:spacing w:beforeLines="0" w:afterLines="0" w:line="240" w:lineRule="auto"/>
              <w:ind w:left="0" w:leftChars="0" w:firstLine="0" w:firstLineChars="0"/>
              <w:rPr>
                <w:color w:val="auto"/>
                <w:sz w:val="21"/>
                <w:szCs w:val="21"/>
              </w:rPr>
            </w:pPr>
            <w:r>
              <w:rPr>
                <w:color w:val="auto"/>
                <w:sz w:val="21"/>
                <w:szCs w:val="21"/>
              </w:rPr>
              <w:t>表</w:t>
            </w:r>
            <w:r>
              <w:rPr>
                <w:rFonts w:hint="eastAsia"/>
                <w:color w:val="auto"/>
                <w:sz w:val="21"/>
                <w:szCs w:val="21"/>
                <w:lang w:val="en-US" w:eastAsia="zh-CN"/>
              </w:rPr>
              <w:t>3-1</w:t>
            </w:r>
            <w:r>
              <w:rPr>
                <w:color w:val="auto"/>
                <w:sz w:val="21"/>
                <w:szCs w:val="21"/>
              </w:rPr>
              <w:t xml:space="preserve">   </w:t>
            </w:r>
            <w:r>
              <w:rPr>
                <w:rFonts w:hint="eastAsia"/>
                <w:color w:val="auto"/>
                <w:sz w:val="21"/>
                <w:szCs w:val="21"/>
                <w:lang w:eastAsia="zh-CN"/>
              </w:rPr>
              <w:t>岚皋县</w:t>
            </w:r>
            <w:r>
              <w:rPr>
                <w:color w:val="auto"/>
                <w:sz w:val="21"/>
                <w:szCs w:val="21"/>
              </w:rPr>
              <w:t>202</w:t>
            </w:r>
            <w:r>
              <w:rPr>
                <w:rFonts w:hint="eastAsia"/>
                <w:color w:val="auto"/>
                <w:sz w:val="21"/>
                <w:szCs w:val="21"/>
                <w:lang w:val="en-US" w:eastAsia="zh-CN"/>
              </w:rPr>
              <w:t>1</w:t>
            </w:r>
            <w:r>
              <w:rPr>
                <w:color w:val="auto"/>
                <w:sz w:val="21"/>
                <w:szCs w:val="21"/>
              </w:rPr>
              <w:t>年空气质量状况统计表</w:t>
            </w:r>
          </w:p>
          <w:tbl>
            <w:tblPr>
              <w:tblStyle w:val="18"/>
              <w:tblW w:w="8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701"/>
              <w:gridCol w:w="992"/>
              <w:gridCol w:w="1276"/>
              <w:gridCol w:w="850"/>
              <w:gridCol w:w="1144"/>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9"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p>
              </w:tc>
              <w:tc>
                <w:tcPr>
                  <w:tcW w:w="1701"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年评价指标</w:t>
                  </w:r>
                </w:p>
              </w:tc>
              <w:tc>
                <w:tcPr>
                  <w:tcW w:w="992"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单位</w:t>
                  </w:r>
                </w:p>
              </w:tc>
              <w:tc>
                <w:tcPr>
                  <w:tcW w:w="1276"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现状浓度</w:t>
                  </w:r>
                </w:p>
              </w:tc>
              <w:tc>
                <w:tcPr>
                  <w:tcW w:w="850"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标准值</w:t>
                  </w:r>
                </w:p>
              </w:tc>
              <w:tc>
                <w:tcPr>
                  <w:tcW w:w="1144"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占标率%</w:t>
                  </w:r>
                </w:p>
              </w:tc>
              <w:tc>
                <w:tcPr>
                  <w:tcW w:w="1135"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9"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PM10</w:t>
                  </w:r>
                </w:p>
              </w:tc>
              <w:tc>
                <w:tcPr>
                  <w:tcW w:w="1701"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年平均质量浓度</w:t>
                  </w:r>
                </w:p>
              </w:tc>
              <w:tc>
                <w:tcPr>
                  <w:tcW w:w="992"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μg/m</w:t>
                  </w:r>
                  <w:r>
                    <w:rPr>
                      <w:rFonts w:hint="default" w:ascii="Times New Roman" w:hAnsi="Times New Roman" w:cs="Times New Roman"/>
                      <w:color w:val="auto"/>
                      <w:sz w:val="21"/>
                      <w:szCs w:val="21"/>
                      <w:vertAlign w:val="superscript"/>
                    </w:rPr>
                    <w:t>3</w:t>
                  </w:r>
                </w:p>
              </w:tc>
              <w:tc>
                <w:tcPr>
                  <w:tcW w:w="1276" w:type="dxa"/>
                  <w:vAlign w:val="center"/>
                </w:tcPr>
                <w:p>
                  <w:pPr>
                    <w:pStyle w:val="45"/>
                    <w:spacing w:line="240" w:lineRule="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37</w:t>
                  </w:r>
                </w:p>
              </w:tc>
              <w:tc>
                <w:tcPr>
                  <w:tcW w:w="850"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70</w:t>
                  </w:r>
                </w:p>
              </w:tc>
              <w:tc>
                <w:tcPr>
                  <w:tcW w:w="1144"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53 </w:t>
                  </w:r>
                </w:p>
              </w:tc>
              <w:tc>
                <w:tcPr>
                  <w:tcW w:w="1135"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9"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PM2.5</w:t>
                  </w:r>
                </w:p>
              </w:tc>
              <w:tc>
                <w:tcPr>
                  <w:tcW w:w="1701"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年平均质量浓度</w:t>
                  </w:r>
                </w:p>
              </w:tc>
              <w:tc>
                <w:tcPr>
                  <w:tcW w:w="992"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μg/m</w:t>
                  </w:r>
                  <w:r>
                    <w:rPr>
                      <w:rFonts w:hint="default" w:ascii="Times New Roman" w:hAnsi="Times New Roman" w:cs="Times New Roman"/>
                      <w:color w:val="auto"/>
                      <w:sz w:val="21"/>
                      <w:szCs w:val="21"/>
                      <w:vertAlign w:val="superscript"/>
                    </w:rPr>
                    <w:t>3</w:t>
                  </w:r>
                </w:p>
              </w:tc>
              <w:tc>
                <w:tcPr>
                  <w:tcW w:w="1276" w:type="dxa"/>
                  <w:vAlign w:val="center"/>
                </w:tcPr>
                <w:p>
                  <w:pPr>
                    <w:pStyle w:val="45"/>
                    <w:spacing w:line="240" w:lineRule="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21</w:t>
                  </w:r>
                </w:p>
              </w:tc>
              <w:tc>
                <w:tcPr>
                  <w:tcW w:w="850"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w:t>
                  </w:r>
                </w:p>
              </w:tc>
              <w:tc>
                <w:tcPr>
                  <w:tcW w:w="1144"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60 </w:t>
                  </w:r>
                </w:p>
              </w:tc>
              <w:tc>
                <w:tcPr>
                  <w:tcW w:w="1135"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9"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SO2</w:t>
                  </w:r>
                </w:p>
              </w:tc>
              <w:tc>
                <w:tcPr>
                  <w:tcW w:w="1701"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年平均质量浓度</w:t>
                  </w:r>
                </w:p>
              </w:tc>
              <w:tc>
                <w:tcPr>
                  <w:tcW w:w="992"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μg/m</w:t>
                  </w:r>
                  <w:r>
                    <w:rPr>
                      <w:rFonts w:hint="default" w:ascii="Times New Roman" w:hAnsi="Times New Roman" w:cs="Times New Roman"/>
                      <w:color w:val="auto"/>
                      <w:sz w:val="21"/>
                      <w:szCs w:val="21"/>
                      <w:vertAlign w:val="superscript"/>
                    </w:rPr>
                    <w:t>3</w:t>
                  </w:r>
                </w:p>
              </w:tc>
              <w:tc>
                <w:tcPr>
                  <w:tcW w:w="1276"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850"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60</w:t>
                  </w:r>
                </w:p>
              </w:tc>
              <w:tc>
                <w:tcPr>
                  <w:tcW w:w="1144"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20 </w:t>
                  </w:r>
                </w:p>
              </w:tc>
              <w:tc>
                <w:tcPr>
                  <w:tcW w:w="1135"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9"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NO2</w:t>
                  </w:r>
                </w:p>
              </w:tc>
              <w:tc>
                <w:tcPr>
                  <w:tcW w:w="1701"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年平均质量浓度</w:t>
                  </w:r>
                </w:p>
              </w:tc>
              <w:tc>
                <w:tcPr>
                  <w:tcW w:w="992"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μg/m</w:t>
                  </w:r>
                  <w:r>
                    <w:rPr>
                      <w:rFonts w:hint="default" w:ascii="Times New Roman" w:hAnsi="Times New Roman" w:cs="Times New Roman"/>
                      <w:color w:val="auto"/>
                      <w:sz w:val="21"/>
                      <w:szCs w:val="21"/>
                      <w:vertAlign w:val="superscript"/>
                    </w:rPr>
                    <w:t>3</w:t>
                  </w:r>
                </w:p>
              </w:tc>
              <w:tc>
                <w:tcPr>
                  <w:tcW w:w="1276" w:type="dxa"/>
                  <w:vAlign w:val="center"/>
                </w:tcPr>
                <w:p>
                  <w:pPr>
                    <w:pStyle w:val="45"/>
                    <w:spacing w:line="240" w:lineRule="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11</w:t>
                  </w:r>
                </w:p>
              </w:tc>
              <w:tc>
                <w:tcPr>
                  <w:tcW w:w="850"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w:t>
                  </w:r>
                </w:p>
              </w:tc>
              <w:tc>
                <w:tcPr>
                  <w:tcW w:w="1144"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28 </w:t>
                  </w:r>
                </w:p>
              </w:tc>
              <w:tc>
                <w:tcPr>
                  <w:tcW w:w="1135"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9"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w:t>
                  </w:r>
                </w:p>
              </w:tc>
              <w:tc>
                <w:tcPr>
                  <w:tcW w:w="1701"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95百分位浓度</w:t>
                  </w:r>
                </w:p>
              </w:tc>
              <w:tc>
                <w:tcPr>
                  <w:tcW w:w="992"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1276"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r>
                    <w:rPr>
                      <w:rFonts w:hint="default" w:ascii="Times New Roman" w:hAnsi="Times New Roman" w:cs="Times New Roman"/>
                      <w:color w:val="auto"/>
                      <w:sz w:val="21"/>
                      <w:szCs w:val="21"/>
                    </w:rPr>
                    <w:t>.9</w:t>
                  </w:r>
                </w:p>
              </w:tc>
              <w:tc>
                <w:tcPr>
                  <w:tcW w:w="850"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144"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23 </w:t>
                  </w:r>
                </w:p>
              </w:tc>
              <w:tc>
                <w:tcPr>
                  <w:tcW w:w="1135"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9"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O3</w:t>
                  </w:r>
                </w:p>
              </w:tc>
              <w:tc>
                <w:tcPr>
                  <w:tcW w:w="1701"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90百分位浓度</w:t>
                  </w:r>
                </w:p>
              </w:tc>
              <w:tc>
                <w:tcPr>
                  <w:tcW w:w="992"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μg/m</w:t>
                  </w:r>
                  <w:r>
                    <w:rPr>
                      <w:rFonts w:hint="default" w:ascii="Times New Roman" w:hAnsi="Times New Roman" w:cs="Times New Roman"/>
                      <w:color w:val="auto"/>
                      <w:sz w:val="21"/>
                      <w:szCs w:val="21"/>
                      <w:vertAlign w:val="superscript"/>
                    </w:rPr>
                    <w:t>3</w:t>
                  </w:r>
                </w:p>
              </w:tc>
              <w:tc>
                <w:tcPr>
                  <w:tcW w:w="1276" w:type="dxa"/>
                  <w:vAlign w:val="center"/>
                </w:tcPr>
                <w:p>
                  <w:pPr>
                    <w:pStyle w:val="45"/>
                    <w:spacing w:line="240" w:lineRule="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95</w:t>
                  </w:r>
                </w:p>
              </w:tc>
              <w:tc>
                <w:tcPr>
                  <w:tcW w:w="850"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200</w:t>
                  </w:r>
                </w:p>
              </w:tc>
              <w:tc>
                <w:tcPr>
                  <w:tcW w:w="1144"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48 </w:t>
                  </w:r>
                </w:p>
              </w:tc>
              <w:tc>
                <w:tcPr>
                  <w:tcW w:w="1135" w:type="dxa"/>
                  <w:vAlign w:val="center"/>
                </w:tcPr>
                <w:p>
                  <w:pPr>
                    <w:pStyle w:val="45"/>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bl>
          <w:p>
            <w:pPr>
              <w:snapToGrid w:val="0"/>
              <w:spacing w:line="360" w:lineRule="auto"/>
              <w:ind w:firstLine="420" w:firstLineChars="200"/>
              <w:rPr>
                <w:color w:val="auto"/>
              </w:rPr>
            </w:pPr>
            <w:r>
              <w:rPr>
                <w:color w:val="auto"/>
              </w:rPr>
              <w:t>由表</w:t>
            </w:r>
            <w:r>
              <w:rPr>
                <w:rFonts w:hint="eastAsia"/>
                <w:color w:val="auto"/>
                <w:lang w:val="en-US" w:eastAsia="zh-CN"/>
              </w:rPr>
              <w:t>3-1</w:t>
            </w:r>
            <w:r>
              <w:rPr>
                <w:color w:val="auto"/>
              </w:rPr>
              <w:t>可知</w:t>
            </w:r>
            <w:r>
              <w:rPr>
                <w:rFonts w:hint="eastAsia"/>
                <w:color w:val="auto"/>
                <w:lang w:eastAsia="zh-CN"/>
              </w:rPr>
              <w:t>岚皋县</w:t>
            </w:r>
            <w:r>
              <w:rPr>
                <w:color w:val="auto"/>
              </w:rPr>
              <w:t>为环境空气质量达标区域。</w:t>
            </w:r>
          </w:p>
          <w:p>
            <w:pPr>
              <w:snapToGrid w:val="0"/>
              <w:spacing w:line="360" w:lineRule="auto"/>
              <w:ind w:firstLine="420" w:firstLineChars="200"/>
              <w:rPr>
                <w:color w:val="auto"/>
              </w:rPr>
            </w:pPr>
            <w:r>
              <w:rPr>
                <w:color w:val="auto"/>
              </w:rPr>
              <w:t>2、其他污染物</w:t>
            </w:r>
          </w:p>
          <w:p>
            <w:pPr>
              <w:spacing w:line="360" w:lineRule="auto"/>
              <w:ind w:firstLine="420" w:firstLineChars="200"/>
              <w:jc w:val="left"/>
              <w:outlineLvl w:val="1"/>
              <w:rPr>
                <w:color w:val="auto"/>
              </w:rPr>
            </w:pPr>
            <w:r>
              <w:rPr>
                <w:color w:val="auto"/>
              </w:rPr>
              <w:t>本项目无其他污染物补充监测。</w:t>
            </w:r>
          </w:p>
          <w:p>
            <w:pPr>
              <w:spacing w:line="360" w:lineRule="auto"/>
              <w:jc w:val="left"/>
              <w:outlineLvl w:val="1"/>
              <w:rPr>
                <w:rFonts w:hint="default" w:eastAsia="宋体"/>
                <w:b/>
                <w:bCs/>
                <w:color w:val="auto"/>
                <w:lang w:val="en-US" w:eastAsia="zh-CN"/>
              </w:rPr>
            </w:pPr>
            <w:r>
              <w:rPr>
                <w:b/>
                <w:bCs/>
                <w:color w:val="auto"/>
              </w:rPr>
              <w:t>二、地表水环境现状</w:t>
            </w:r>
            <w:bookmarkEnd w:id="4"/>
            <w:r>
              <w:rPr>
                <w:rFonts w:hint="eastAsia"/>
                <w:b/>
                <w:bCs/>
                <w:color w:val="auto"/>
                <w:lang w:val="en-US" w:eastAsia="zh-CN"/>
              </w:rPr>
              <w:t>调查及评价</w:t>
            </w:r>
          </w:p>
          <w:p>
            <w:pPr>
              <w:spacing w:line="360" w:lineRule="auto"/>
              <w:ind w:firstLine="420" w:firstLineChars="200"/>
              <w:rPr>
                <w:rFonts w:hint="eastAsia"/>
                <w:color w:val="auto"/>
                <w:lang w:val="en-US" w:eastAsia="zh-CN"/>
              </w:rPr>
            </w:pPr>
            <w:bookmarkStart w:id="5" w:name="_Toc477512827"/>
            <w:bookmarkStart w:id="6" w:name="_Toc491334273"/>
            <w:bookmarkStart w:id="7" w:name="_Toc491333389"/>
            <w:bookmarkStart w:id="8" w:name="_Toc491333335"/>
            <w:bookmarkStart w:id="9" w:name="_Toc494273217"/>
            <w:r>
              <w:rPr>
                <w:rFonts w:hint="eastAsia"/>
                <w:color w:val="auto"/>
                <w:lang w:val="en-US" w:eastAsia="zh-CN"/>
              </w:rPr>
              <w:t>本项目设计的地表水为岚河与大道河的支流大盘河，为了了解项目区地表水环境质量现状，本次环评收集了安康市生态环境局</w:t>
            </w:r>
            <w:r>
              <w:rPr>
                <w:rFonts w:hint="default"/>
                <w:color w:val="auto"/>
                <w:lang w:val="en-US" w:eastAsia="zh-CN"/>
              </w:rPr>
              <w:t>2022</w:t>
            </w:r>
            <w:r>
              <w:rPr>
                <w:rFonts w:hint="eastAsia"/>
                <w:color w:val="auto"/>
                <w:lang w:val="en-US" w:eastAsia="zh-CN"/>
              </w:rPr>
              <w:t>年4月</w:t>
            </w:r>
            <w:r>
              <w:rPr>
                <w:rFonts w:hint="default"/>
                <w:color w:val="auto"/>
                <w:lang w:val="en-US" w:eastAsia="zh-CN"/>
              </w:rPr>
              <w:t>2</w:t>
            </w:r>
            <w:r>
              <w:rPr>
                <w:rFonts w:hint="eastAsia"/>
                <w:color w:val="auto"/>
                <w:lang w:val="en-US" w:eastAsia="zh-CN"/>
              </w:rPr>
              <w:t>日发布的《</w:t>
            </w:r>
            <w:r>
              <w:rPr>
                <w:rFonts w:hint="default"/>
                <w:color w:val="auto"/>
                <w:lang w:val="en-US" w:eastAsia="zh-CN"/>
              </w:rPr>
              <w:t>安康市2022年2月份水环境质量状况</w:t>
            </w:r>
            <w:r>
              <w:rPr>
                <w:rFonts w:hint="eastAsia"/>
                <w:color w:val="auto"/>
                <w:lang w:val="en-US" w:eastAsia="zh-CN"/>
              </w:rPr>
              <w:t>》。</w:t>
            </w:r>
          </w:p>
          <w:p>
            <w:pPr>
              <w:spacing w:line="360" w:lineRule="auto"/>
              <w:ind w:firstLine="420" w:firstLineChars="200"/>
              <w:rPr>
                <w:rFonts w:hint="default"/>
                <w:color w:val="auto"/>
                <w:lang w:val="en-US" w:eastAsia="zh-CN"/>
              </w:rPr>
            </w:pPr>
            <w:r>
              <w:rPr>
                <w:rFonts w:hint="eastAsia"/>
                <w:color w:val="auto"/>
                <w:lang w:val="en-US" w:eastAsia="zh-CN"/>
              </w:rPr>
              <w:t>岚河流域，项目下游最近处的岚河六口水文站（省控）断面</w:t>
            </w:r>
            <w:r>
              <w:rPr>
                <w:rFonts w:hint="default"/>
                <w:color w:val="auto"/>
                <w:lang w:val="en-US" w:eastAsia="zh-CN"/>
              </w:rPr>
              <w:t>2022年2月份</w:t>
            </w:r>
            <w:r>
              <w:rPr>
                <w:rFonts w:hint="eastAsia"/>
                <w:color w:val="auto"/>
                <w:lang w:val="en-US" w:eastAsia="zh-CN"/>
              </w:rPr>
              <w:t>水质达到《地表水环境质量标准》（</w:t>
            </w:r>
            <w:r>
              <w:rPr>
                <w:rFonts w:hint="default"/>
                <w:color w:val="auto"/>
                <w:lang w:val="en-US" w:eastAsia="zh-CN"/>
              </w:rPr>
              <w:t>GB3838-2002</w:t>
            </w:r>
            <w:r>
              <w:rPr>
                <w:rFonts w:hint="eastAsia"/>
                <w:color w:val="auto"/>
                <w:lang w:val="en-US" w:eastAsia="zh-CN"/>
              </w:rPr>
              <w:t>）</w:t>
            </w:r>
            <w:r>
              <w:rPr>
                <w:rFonts w:hint="default" w:ascii="Times New Roman" w:hAnsi="Times New Roman" w:cs="Times New Roman"/>
                <w:color w:val="auto"/>
                <w:lang w:val="en-US" w:eastAsia="zh-CN"/>
              </w:rPr>
              <w:t>Ⅰ</w:t>
            </w:r>
            <w:r>
              <w:rPr>
                <w:rFonts w:hint="eastAsia"/>
                <w:color w:val="auto"/>
                <w:lang w:val="en-US" w:eastAsia="zh-CN"/>
              </w:rPr>
              <w:t>类水域标准（水环境功能区为</w:t>
            </w:r>
            <w:r>
              <w:rPr>
                <w:rFonts w:hint="default"/>
                <w:color w:val="auto"/>
                <w:lang w:val="en-US" w:eastAsia="zh-CN"/>
              </w:rPr>
              <w:t>Ⅱ</w:t>
            </w:r>
            <w:r>
              <w:rPr>
                <w:rFonts w:hint="eastAsia"/>
                <w:color w:val="auto"/>
                <w:lang w:val="en-US" w:eastAsia="zh-CN"/>
              </w:rPr>
              <w:t>类）。大道河流域，项目下游最近处的大道河民主集镇建成区（省控）断面</w:t>
            </w:r>
            <w:r>
              <w:rPr>
                <w:rFonts w:hint="default"/>
                <w:color w:val="auto"/>
                <w:lang w:val="en-US" w:eastAsia="zh-CN"/>
              </w:rPr>
              <w:t>2022年2月份</w:t>
            </w:r>
            <w:r>
              <w:rPr>
                <w:rFonts w:hint="eastAsia"/>
                <w:color w:val="auto"/>
                <w:lang w:val="en-US" w:eastAsia="zh-CN"/>
              </w:rPr>
              <w:t>水质达到《地表水环境质量标准》（</w:t>
            </w:r>
            <w:r>
              <w:rPr>
                <w:rFonts w:hint="default"/>
                <w:color w:val="auto"/>
                <w:lang w:val="en-US" w:eastAsia="zh-CN"/>
              </w:rPr>
              <w:t>GB3838-2002</w:t>
            </w:r>
            <w:r>
              <w:rPr>
                <w:rFonts w:hint="eastAsia"/>
                <w:color w:val="auto"/>
                <w:lang w:val="en-US" w:eastAsia="zh-CN"/>
              </w:rPr>
              <w:t>）</w:t>
            </w:r>
            <w:r>
              <w:rPr>
                <w:rFonts w:hint="default"/>
                <w:color w:val="auto"/>
                <w:lang w:val="en-US" w:eastAsia="zh-CN"/>
              </w:rPr>
              <w:t>Ⅱ</w:t>
            </w:r>
            <w:r>
              <w:rPr>
                <w:rFonts w:hint="eastAsia"/>
                <w:color w:val="auto"/>
                <w:lang w:val="en-US" w:eastAsia="zh-CN"/>
              </w:rPr>
              <w:t>类水域标准（水环境功能区为</w:t>
            </w:r>
            <w:r>
              <w:rPr>
                <w:rFonts w:hint="default"/>
                <w:color w:val="auto"/>
                <w:lang w:val="en-US" w:eastAsia="zh-CN"/>
              </w:rPr>
              <w:t>Ⅱ</w:t>
            </w:r>
            <w:r>
              <w:rPr>
                <w:rFonts w:hint="eastAsia"/>
                <w:color w:val="auto"/>
                <w:lang w:val="en-US" w:eastAsia="zh-CN"/>
              </w:rPr>
              <w:t>类）。项目所在区域地表水环境质量较好。</w:t>
            </w:r>
          </w:p>
          <w:p>
            <w:pPr>
              <w:spacing w:line="360" w:lineRule="auto"/>
              <w:jc w:val="left"/>
              <w:outlineLvl w:val="1"/>
              <w:rPr>
                <w:b/>
                <w:bCs/>
                <w:color w:val="auto"/>
              </w:rPr>
            </w:pPr>
            <w:r>
              <w:rPr>
                <w:b/>
                <w:bCs/>
                <w:color w:val="auto"/>
              </w:rPr>
              <w:t>三、声环境现状调查及评价</w:t>
            </w:r>
          </w:p>
          <w:p>
            <w:pPr>
              <w:spacing w:line="360" w:lineRule="auto"/>
              <w:ind w:firstLine="420" w:firstLineChars="200"/>
              <w:rPr>
                <w:color w:val="auto"/>
              </w:rPr>
            </w:pPr>
            <w:r>
              <w:rPr>
                <w:rFonts w:hint="eastAsia"/>
                <w:color w:val="auto"/>
                <w:lang w:val="en-US" w:eastAsia="zh-CN"/>
              </w:rPr>
              <w:t>根据现场调查，项目区周围无工矿企业，主要噪声源为项目附近公路交通噪声。</w:t>
            </w:r>
          </w:p>
          <w:p>
            <w:pPr>
              <w:spacing w:line="360" w:lineRule="auto"/>
              <w:jc w:val="left"/>
              <w:outlineLvl w:val="1"/>
              <w:rPr>
                <w:b/>
                <w:bCs/>
                <w:color w:val="auto"/>
              </w:rPr>
            </w:pPr>
            <w:r>
              <w:rPr>
                <w:b/>
                <w:bCs/>
                <w:color w:val="auto"/>
              </w:rPr>
              <w:t>四、生态环境</w:t>
            </w:r>
            <w:bookmarkEnd w:id="5"/>
            <w:bookmarkEnd w:id="6"/>
            <w:bookmarkEnd w:id="7"/>
            <w:bookmarkEnd w:id="8"/>
            <w:r>
              <w:rPr>
                <w:b/>
                <w:bCs/>
                <w:color w:val="auto"/>
              </w:rPr>
              <w:t>质量现状</w:t>
            </w:r>
            <w:bookmarkEnd w:id="9"/>
          </w:p>
          <w:p>
            <w:pPr>
              <w:spacing w:line="360" w:lineRule="auto"/>
              <w:ind w:firstLine="482"/>
              <w:rPr>
                <w:color w:val="auto"/>
              </w:rPr>
            </w:pPr>
            <w:r>
              <w:rPr>
                <w:color w:val="auto"/>
              </w:rPr>
              <w:t>1、生态功能区划</w:t>
            </w:r>
          </w:p>
          <w:p>
            <w:pPr>
              <w:spacing w:line="360" w:lineRule="auto"/>
              <w:ind w:firstLine="482"/>
              <w:rPr>
                <w:color w:val="auto"/>
              </w:rPr>
            </w:pPr>
            <w:bookmarkStart w:id="10" w:name="_Toc477512829"/>
            <w:r>
              <w:rPr>
                <w:rFonts w:hint="eastAsia"/>
                <w:color w:val="auto"/>
                <w:lang w:val="en-US" w:eastAsia="zh-CN"/>
              </w:rPr>
              <w:t>根据《陕西省生态功能区划》，陕西省划分</w:t>
            </w:r>
            <w:r>
              <w:rPr>
                <w:rFonts w:hint="default"/>
                <w:color w:val="auto"/>
                <w:lang w:val="en-US" w:eastAsia="zh-CN"/>
              </w:rPr>
              <w:t>4</w:t>
            </w:r>
            <w:r>
              <w:rPr>
                <w:rFonts w:hint="eastAsia"/>
                <w:color w:val="auto"/>
                <w:lang w:val="en-US" w:eastAsia="zh-CN"/>
              </w:rPr>
              <w:t>个生态区、</w:t>
            </w:r>
            <w:r>
              <w:rPr>
                <w:rFonts w:hint="default"/>
                <w:color w:val="auto"/>
                <w:lang w:val="en-US" w:eastAsia="zh-CN"/>
              </w:rPr>
              <w:t>10</w:t>
            </w:r>
            <w:r>
              <w:rPr>
                <w:rFonts w:hint="eastAsia"/>
                <w:color w:val="auto"/>
                <w:lang w:val="en-US" w:eastAsia="zh-CN"/>
              </w:rPr>
              <w:t>个生态功能区、</w:t>
            </w:r>
            <w:r>
              <w:rPr>
                <w:rFonts w:hint="default"/>
                <w:color w:val="auto"/>
                <w:lang w:val="en-US" w:eastAsia="zh-CN"/>
              </w:rPr>
              <w:t>35</w:t>
            </w:r>
            <w:r>
              <w:rPr>
                <w:rFonts w:hint="eastAsia"/>
                <w:color w:val="auto"/>
                <w:lang w:val="en-US" w:eastAsia="zh-CN"/>
              </w:rPr>
              <w:t>个生态功能小区。本项目位于陕西省生态功能区中秦巴山地落叶阔叶、常绿阔叶混交林生态区（一级区）、</w:t>
            </w:r>
            <w:r>
              <w:rPr>
                <w:rFonts w:hint="eastAsia" w:ascii="宋体" w:hAnsi="宋体" w:cs="宋体"/>
                <w:color w:val="auto"/>
                <w:kern w:val="0"/>
                <w:sz w:val="21"/>
                <w:szCs w:val="21"/>
                <w:vertAlign w:val="baseline"/>
              </w:rPr>
              <w:t>米仓山、大巴山水源涵养生态功能区</w:t>
            </w:r>
            <w:r>
              <w:rPr>
                <w:rFonts w:hint="eastAsia"/>
                <w:color w:val="auto"/>
                <w:lang w:val="en-US" w:eastAsia="zh-CN"/>
              </w:rPr>
              <w:t>（二级区）、</w:t>
            </w:r>
            <w:r>
              <w:rPr>
                <w:rFonts w:hint="eastAsia" w:ascii="宋体" w:hAnsi="宋体" w:cs="宋体"/>
                <w:color w:val="auto"/>
                <w:kern w:val="0"/>
                <w:sz w:val="21"/>
                <w:szCs w:val="21"/>
                <w:vertAlign w:val="baseline"/>
              </w:rPr>
              <w:t>大巴山水源涵养与生物多样性保护区</w:t>
            </w:r>
            <w:r>
              <w:rPr>
                <w:rFonts w:hint="eastAsia"/>
                <w:color w:val="auto"/>
                <w:lang w:val="en-US" w:eastAsia="zh-CN"/>
              </w:rPr>
              <w:t>（三级区）。本项目在陕西省生态功能区划中位置详见附图3。</w:t>
            </w:r>
          </w:p>
          <w:p>
            <w:pPr>
              <w:spacing w:line="360" w:lineRule="auto"/>
              <w:ind w:firstLine="420" w:firstLineChars="200"/>
              <w:rPr>
                <w:color w:val="auto"/>
              </w:rPr>
            </w:pPr>
            <w:r>
              <w:rPr>
                <w:color w:val="auto"/>
              </w:rPr>
              <w:t>2、土地利用现状</w:t>
            </w:r>
          </w:p>
          <w:p>
            <w:pPr>
              <w:spacing w:line="360" w:lineRule="auto"/>
              <w:ind w:firstLine="482"/>
              <w:rPr>
                <w:rFonts w:hint="eastAsia"/>
                <w:color w:val="auto"/>
                <w:lang w:val="en-US" w:eastAsia="zh-CN"/>
              </w:rPr>
            </w:pPr>
            <w:r>
              <w:rPr>
                <w:rFonts w:hint="eastAsia"/>
                <w:color w:val="auto"/>
                <w:lang w:val="en-US" w:eastAsia="zh-CN"/>
              </w:rPr>
              <w:t>依据《土地利用现状分类标准》（</w:t>
            </w:r>
            <w:r>
              <w:rPr>
                <w:rFonts w:hint="default"/>
                <w:color w:val="auto"/>
                <w:lang w:val="en-US" w:eastAsia="zh-CN"/>
              </w:rPr>
              <w:t>GB/T21010-2017</w:t>
            </w:r>
            <w:r>
              <w:rPr>
                <w:rFonts w:hint="eastAsia"/>
                <w:color w:val="auto"/>
                <w:lang w:val="en-US" w:eastAsia="zh-CN"/>
              </w:rPr>
              <w:t>）及现场调查情况，本次项目主要土地占用类型为内陆滩涂，以及少量的未利用地和草地。</w:t>
            </w:r>
          </w:p>
          <w:p>
            <w:pPr>
              <w:spacing w:line="360" w:lineRule="auto"/>
              <w:ind w:firstLine="420" w:firstLineChars="200"/>
              <w:rPr>
                <w:color w:val="auto"/>
              </w:rPr>
            </w:pPr>
            <w:r>
              <w:rPr>
                <w:color w:val="auto"/>
              </w:rPr>
              <w:t>3、植被现状</w:t>
            </w:r>
            <w:bookmarkEnd w:id="10"/>
          </w:p>
          <w:p>
            <w:pPr>
              <w:spacing w:line="360" w:lineRule="auto"/>
              <w:ind w:firstLine="482"/>
              <w:rPr>
                <w:rFonts w:hint="eastAsia"/>
                <w:color w:val="auto"/>
                <w:lang w:val="en-US" w:eastAsia="zh-CN"/>
              </w:rPr>
            </w:pPr>
            <w:r>
              <w:rPr>
                <w:rFonts w:hint="eastAsia"/>
                <w:color w:val="auto"/>
                <w:lang w:val="en-US" w:eastAsia="zh-CN"/>
              </w:rPr>
              <w:t>经现场调查评价区临时占地范围内无濒危保护植物物种、珍稀保护野生植物及古树名木分布，河谷两岸人类活动较为频繁基本没有森林大部分被灌木类代替。植被类型以农作物植被、灌木和草地为主。现地调查时，项目区未发现国家及省级重点野生保护植物。</w:t>
            </w:r>
          </w:p>
          <w:p>
            <w:pPr>
              <w:spacing w:line="360" w:lineRule="auto"/>
              <w:ind w:firstLine="420" w:firstLineChars="200"/>
              <w:rPr>
                <w:color w:val="auto"/>
              </w:rPr>
            </w:pPr>
            <w:r>
              <w:rPr>
                <w:color w:val="auto"/>
              </w:rPr>
              <w:t>4、动物现状</w:t>
            </w:r>
          </w:p>
          <w:p>
            <w:pPr>
              <w:spacing w:line="360" w:lineRule="auto"/>
              <w:ind w:firstLine="482"/>
              <w:rPr>
                <w:color w:val="auto"/>
              </w:rPr>
            </w:pPr>
            <w:r>
              <w:rPr>
                <w:rFonts w:hint="eastAsia"/>
                <w:color w:val="auto"/>
                <w:lang w:val="en-US" w:eastAsia="zh-CN"/>
              </w:rPr>
              <w:t>评价区域内由于人类活动，野生动物稀少，通过走访调查，评价区有蛇、刺猬、松鼠、草兔、田鼠、黄鼠狼等常见动物，</w:t>
            </w:r>
          </w:p>
          <w:p>
            <w:pPr>
              <w:spacing w:line="360" w:lineRule="auto"/>
              <w:ind w:firstLine="482"/>
              <w:rPr>
                <w:color w:val="auto"/>
              </w:rPr>
            </w:pPr>
            <w:r>
              <w:rPr>
                <w:color w:val="auto"/>
              </w:rPr>
              <w:t>评价区未发现珍稀濒危和国家</w:t>
            </w:r>
            <w:r>
              <w:rPr>
                <w:rFonts w:hint="eastAsia"/>
                <w:color w:val="auto"/>
              </w:rPr>
              <w:t>Ⅰ</w:t>
            </w:r>
            <w:r>
              <w:rPr>
                <w:color w:val="auto"/>
              </w:rPr>
              <w:t>级、</w:t>
            </w:r>
            <w:r>
              <w:rPr>
                <w:rFonts w:hint="eastAsia"/>
                <w:color w:val="auto"/>
              </w:rPr>
              <w:t>Ⅱ</w:t>
            </w:r>
            <w:r>
              <w:rPr>
                <w:color w:val="auto"/>
              </w:rPr>
              <w:t>级及陕西省重点保护动物分布，亦无当地特有种动物。</w:t>
            </w:r>
          </w:p>
          <w:p>
            <w:pPr>
              <w:spacing w:line="360" w:lineRule="auto"/>
              <w:ind w:firstLine="482"/>
              <w:rPr>
                <w:color w:val="auto"/>
              </w:rPr>
            </w:pPr>
            <w:r>
              <w:rPr>
                <w:rFonts w:hint="eastAsia"/>
                <w:color w:val="auto"/>
                <w:lang w:val="en-US" w:eastAsia="zh-CN"/>
              </w:rPr>
              <w:t>5、水生生物现状</w:t>
            </w:r>
          </w:p>
          <w:p>
            <w:pPr>
              <w:spacing w:line="360" w:lineRule="auto"/>
              <w:ind w:firstLine="482"/>
              <w:rPr>
                <w:rFonts w:hint="eastAsia" w:eastAsia="宋体"/>
                <w:color w:val="auto"/>
                <w:lang w:val="en-US" w:eastAsia="zh-CN"/>
              </w:rPr>
            </w:pPr>
            <w:r>
              <w:rPr>
                <w:rFonts w:hint="eastAsia"/>
                <w:color w:val="auto"/>
                <w:lang w:val="en-US" w:eastAsia="zh-CN"/>
              </w:rPr>
              <w:t>本项目沿线区域受人为扰动较大，水生生物受人为干扰较为明显，根据《国家重点保护野生动物名录》、《陕西省重点保护水生野生动物名录》和《中国濒危动物红皮书》查阅相关文献和现场走访调查，流域工程段无洄游性和珍稀鱼类，亦不存在鱼类的“三场”，多以原生动物、轮虫动物等浮游动物和甲壳动物、水生昆虫等底栖动物为主，分布有少量的鲫鱼、鳅鱼等。</w:t>
            </w:r>
          </w:p>
          <w:p>
            <w:pPr>
              <w:spacing w:line="360" w:lineRule="auto"/>
              <w:ind w:firstLine="482"/>
              <w:rPr>
                <w:rFonts w:hint="eastAsia" w:eastAsia="宋体"/>
                <w:color w:val="auto"/>
                <w:lang w:eastAsia="zh-CN"/>
              </w:rPr>
            </w:pPr>
            <w:r>
              <w:rPr>
                <w:rFonts w:hint="eastAsia"/>
                <w:color w:val="auto"/>
                <w:lang w:val="en-US" w:eastAsia="zh-CN"/>
              </w:rPr>
              <w:t>6</w:t>
            </w:r>
            <w:r>
              <w:rPr>
                <w:color w:val="auto"/>
              </w:rPr>
              <w:t>、土壤</w:t>
            </w:r>
            <w:r>
              <w:rPr>
                <w:rFonts w:hint="eastAsia"/>
                <w:color w:val="auto"/>
                <w:lang w:val="en-US" w:eastAsia="zh-CN"/>
              </w:rPr>
              <w:t>现状</w:t>
            </w:r>
          </w:p>
          <w:p>
            <w:pPr>
              <w:spacing w:line="360" w:lineRule="auto"/>
              <w:ind w:firstLine="482"/>
              <w:rPr>
                <w:rFonts w:hint="eastAsia"/>
                <w:color w:val="auto"/>
                <w:lang w:val="en-US" w:eastAsia="zh-CN"/>
              </w:rPr>
            </w:pPr>
            <w:r>
              <w:rPr>
                <w:rFonts w:hint="eastAsia"/>
                <w:color w:val="auto"/>
                <w:lang w:val="en-US" w:eastAsia="zh-CN"/>
              </w:rPr>
              <w:t>岚皋县境内土壤类型丰富多样，共6个土类14个品种，32个土属107个土种。地带性土壤主要为黄褐土、黄棕壤和棕壤，非地带性土壤有潮土、水稻土和草甸土。黄褐土分布在海拔900m以下地区，该地区主要为农业用地；黄棕壤分布在海拔900—1400m之间地区，棕壤分布在海拔1400m以上地区，草甸土主要分布在海拔2200m以上、地势平坦而低洼的地区，多为零星分布；潮土主要分布在河流沿岸，发育于河流沉积物上；水稻土中，隐育型水稻土、潴育型水稻土和潜育型水稻土均有分布。</w:t>
            </w:r>
          </w:p>
          <w:p>
            <w:pPr>
              <w:spacing w:line="360" w:lineRule="auto"/>
              <w:jc w:val="left"/>
              <w:outlineLvl w:val="1"/>
              <w:rPr>
                <w:b/>
                <w:bCs/>
                <w:color w:val="auto"/>
              </w:rPr>
            </w:pPr>
            <w:r>
              <w:rPr>
                <w:b/>
                <w:bCs/>
                <w:color w:val="auto"/>
              </w:rPr>
              <w:t>五、</w:t>
            </w:r>
            <w:r>
              <w:rPr>
                <w:rFonts w:hint="eastAsia"/>
                <w:b/>
                <w:bCs/>
                <w:color w:val="auto"/>
                <w:lang w:eastAsia="zh-CN"/>
              </w:rPr>
              <w:t>安康岚河</w:t>
            </w:r>
            <w:r>
              <w:rPr>
                <w:b/>
                <w:bCs/>
                <w:color w:val="auto"/>
              </w:rPr>
              <w:t>湿地</w:t>
            </w:r>
          </w:p>
          <w:p>
            <w:pPr>
              <w:spacing w:line="360" w:lineRule="auto"/>
              <w:ind w:firstLine="482"/>
              <w:rPr>
                <w:color w:val="auto"/>
              </w:rPr>
            </w:pPr>
            <w:r>
              <w:rPr>
                <w:rFonts w:hint="eastAsia"/>
                <w:color w:val="auto"/>
                <w:lang w:eastAsia="zh-CN"/>
              </w:rPr>
              <w:t>安康岚河</w:t>
            </w:r>
            <w:r>
              <w:rPr>
                <w:color w:val="auto"/>
              </w:rPr>
              <w:t>湿地，2008年8月6日被陕西省人民政府列入《陕西省重要湿地名录》。</w:t>
            </w:r>
          </w:p>
          <w:p>
            <w:pPr>
              <w:spacing w:line="360" w:lineRule="auto"/>
              <w:ind w:firstLine="482"/>
              <w:rPr>
                <w:color w:val="auto"/>
              </w:rPr>
            </w:pPr>
            <w:r>
              <w:rPr>
                <w:rFonts w:hint="eastAsia"/>
                <w:color w:val="auto"/>
                <w:lang w:eastAsia="zh-CN"/>
              </w:rPr>
              <w:t>安康岚河</w:t>
            </w:r>
            <w:r>
              <w:rPr>
                <w:color w:val="auto"/>
              </w:rPr>
              <w:t>湿地的范围从从平利县正阳乡到汉滨区玉岚乡沿岚河至岚河与汉江交汇处，包括岚河河道、河滩、泛洪区及河道两岸1km范围内的人工湿地。</w:t>
            </w:r>
            <w:r>
              <w:rPr>
                <w:rFonts w:hint="eastAsia"/>
                <w:color w:val="auto"/>
                <w:szCs w:val="21"/>
                <w:lang w:val="en-US" w:eastAsia="zh-CN"/>
              </w:rPr>
              <w:t>岚河两侧主要植被类型为野生常见杂草，野生动物很少。</w:t>
            </w:r>
          </w:p>
          <w:p>
            <w:pPr>
              <w:spacing w:line="360" w:lineRule="auto"/>
              <w:ind w:firstLine="4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904" w:type="dxa"/>
            <w:vAlign w:val="center"/>
          </w:tcPr>
          <w:p>
            <w:pPr>
              <w:adjustRightInd w:val="0"/>
              <w:snapToGrid w:val="0"/>
              <w:jc w:val="center"/>
              <w:rPr>
                <w:color w:val="auto"/>
                <w:kern w:val="0"/>
                <w:szCs w:val="21"/>
              </w:rPr>
            </w:pPr>
            <w:r>
              <w:rPr>
                <w:bCs/>
                <w:color w:val="auto"/>
                <w:szCs w:val="21"/>
              </w:rPr>
              <w:t>与项目有关的原有环境污染和生态破坏问题</w:t>
            </w:r>
          </w:p>
        </w:tc>
        <w:tc>
          <w:tcPr>
            <w:tcW w:w="8253" w:type="dxa"/>
            <w:vAlign w:val="center"/>
          </w:tcPr>
          <w:p>
            <w:pPr>
              <w:adjustRightInd w:val="0"/>
              <w:snapToGrid w:val="0"/>
              <w:spacing w:line="360" w:lineRule="auto"/>
              <w:ind w:firstLine="198"/>
              <w:rPr>
                <w:rFonts w:hint="default" w:eastAsia="宋体"/>
                <w:color w:val="auto"/>
                <w:kern w:val="0"/>
                <w:szCs w:val="21"/>
                <w:lang w:val="en-US" w:eastAsia="zh-CN"/>
              </w:rPr>
            </w:pPr>
            <w:r>
              <w:rPr>
                <w:color w:val="auto"/>
                <w:kern w:val="0"/>
                <w:szCs w:val="21"/>
              </w:rPr>
              <w:t>本项目为</w:t>
            </w:r>
            <w:r>
              <w:rPr>
                <w:rFonts w:hint="eastAsia"/>
                <w:color w:val="auto"/>
                <w:kern w:val="0"/>
                <w:szCs w:val="21"/>
                <w:lang w:val="en-US" w:eastAsia="zh-CN"/>
              </w:rPr>
              <w:t>防洪工程</w:t>
            </w:r>
            <w:r>
              <w:rPr>
                <w:color w:val="auto"/>
                <w:kern w:val="0"/>
                <w:szCs w:val="21"/>
              </w:rPr>
              <w:t>项目</w:t>
            </w:r>
            <w:r>
              <w:rPr>
                <w:rFonts w:hint="eastAsia"/>
                <w:color w:val="auto"/>
                <w:kern w:val="0"/>
                <w:szCs w:val="21"/>
                <w:lang w:eastAsia="zh-CN"/>
              </w:rPr>
              <w:t>，</w:t>
            </w:r>
            <w:r>
              <w:rPr>
                <w:rFonts w:hint="eastAsia"/>
                <w:color w:val="auto"/>
                <w:kern w:val="0"/>
                <w:szCs w:val="21"/>
                <w:lang w:val="en-US" w:eastAsia="zh-CN"/>
              </w:rPr>
              <w:t>主要内容</w:t>
            </w:r>
            <w:r>
              <w:rPr>
                <w:rFonts w:hint="eastAsia"/>
                <w:color w:val="auto"/>
                <w:lang w:eastAsia="zh-CN"/>
              </w:rPr>
              <w:t>：</w:t>
            </w:r>
            <w:r>
              <w:rPr>
                <w:rFonts w:hint="eastAsia"/>
                <w:color w:val="auto"/>
              </w:rPr>
              <w:t>治理长度1770.98m，其中，新建堤防860.07m，堤防加高480.31m，水毁新建堤防50m，水毁新建护岸85.5m，新建护岸130.10m，堤脚加固165m。</w:t>
            </w:r>
            <w:r>
              <w:rPr>
                <w:rFonts w:hint="eastAsia"/>
                <w:color w:val="auto"/>
                <w:lang w:val="en-US" w:eastAsia="zh-CN"/>
              </w:rPr>
              <w:t>新建堤防、护岸段，</w:t>
            </w:r>
            <w:r>
              <w:rPr>
                <w:color w:val="auto"/>
                <w:kern w:val="0"/>
                <w:szCs w:val="21"/>
              </w:rPr>
              <w:t>不存在原有环境</w:t>
            </w:r>
            <w:r>
              <w:rPr>
                <w:rFonts w:hint="eastAsia"/>
                <w:color w:val="auto"/>
                <w:kern w:val="0"/>
                <w:szCs w:val="21"/>
                <w:lang w:val="en-US" w:eastAsia="zh-CN"/>
              </w:rPr>
              <w:t>污染</w:t>
            </w:r>
            <w:r>
              <w:rPr>
                <w:color w:val="auto"/>
                <w:kern w:val="0"/>
                <w:szCs w:val="21"/>
              </w:rPr>
              <w:t>问题及生态破坏问题。</w:t>
            </w:r>
            <w:r>
              <w:rPr>
                <w:rFonts w:hint="eastAsia"/>
                <w:color w:val="auto"/>
                <w:kern w:val="0"/>
                <w:szCs w:val="21"/>
                <w:lang w:val="en-US" w:eastAsia="zh-CN"/>
              </w:rPr>
              <w:t>堤防加高段，</w:t>
            </w:r>
            <w:r>
              <w:rPr>
                <w:color w:val="auto"/>
                <w:kern w:val="0"/>
                <w:szCs w:val="21"/>
              </w:rPr>
              <w:t>原有</w:t>
            </w:r>
            <w:r>
              <w:rPr>
                <w:rFonts w:hint="eastAsia"/>
                <w:color w:val="auto"/>
                <w:kern w:val="0"/>
                <w:szCs w:val="21"/>
                <w:lang w:val="en-US" w:eastAsia="zh-CN"/>
              </w:rPr>
              <w:t>堤防段已经</w:t>
            </w:r>
            <w:r>
              <w:rPr>
                <w:color w:val="auto"/>
                <w:kern w:val="0"/>
                <w:szCs w:val="21"/>
              </w:rPr>
              <w:t>存在，周边生态环境已自然恢复，不存在原有环境</w:t>
            </w:r>
            <w:r>
              <w:rPr>
                <w:rFonts w:hint="eastAsia"/>
                <w:color w:val="auto"/>
                <w:kern w:val="0"/>
                <w:szCs w:val="21"/>
                <w:lang w:val="en-US" w:eastAsia="zh-CN"/>
              </w:rPr>
              <w:t>污染</w:t>
            </w:r>
            <w:r>
              <w:rPr>
                <w:color w:val="auto"/>
                <w:kern w:val="0"/>
                <w:szCs w:val="21"/>
              </w:rPr>
              <w:t>问题及生态破坏问题。</w:t>
            </w:r>
            <w:r>
              <w:rPr>
                <w:rFonts w:hint="eastAsia"/>
                <w:color w:val="auto"/>
              </w:rPr>
              <w:t>水毁新建堤防</w:t>
            </w:r>
            <w:r>
              <w:rPr>
                <w:rFonts w:hint="eastAsia"/>
                <w:color w:val="auto"/>
                <w:lang w:eastAsia="zh-CN"/>
              </w:rPr>
              <w:t>、</w:t>
            </w:r>
            <w:r>
              <w:rPr>
                <w:rFonts w:hint="eastAsia"/>
                <w:color w:val="auto"/>
                <w:lang w:val="en-US" w:eastAsia="zh-CN"/>
              </w:rPr>
              <w:t>护岸段，无环境污染问题，原有</w:t>
            </w:r>
            <w:r>
              <w:rPr>
                <w:rFonts w:hint="eastAsia"/>
                <w:color w:val="auto"/>
              </w:rPr>
              <w:t>堤防</w:t>
            </w:r>
            <w:r>
              <w:rPr>
                <w:rFonts w:hint="eastAsia"/>
                <w:color w:val="auto"/>
                <w:lang w:eastAsia="zh-CN"/>
              </w:rPr>
              <w:t>、</w:t>
            </w:r>
            <w:r>
              <w:rPr>
                <w:rFonts w:hint="eastAsia"/>
                <w:color w:val="auto"/>
                <w:lang w:val="en-US" w:eastAsia="zh-CN"/>
              </w:rPr>
              <w:t>护岸水毁，造成毁坏路段水土流失、植被破坏等环境生态问题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904" w:type="dxa"/>
            <w:vAlign w:val="center"/>
          </w:tcPr>
          <w:p>
            <w:pPr>
              <w:adjustRightInd w:val="0"/>
              <w:snapToGrid w:val="0"/>
              <w:jc w:val="center"/>
              <w:rPr>
                <w:color w:val="auto"/>
                <w:kern w:val="0"/>
                <w:szCs w:val="21"/>
              </w:rPr>
            </w:pPr>
            <w:r>
              <w:rPr>
                <w:color w:val="auto"/>
                <w:kern w:val="0"/>
                <w:szCs w:val="21"/>
              </w:rPr>
              <w:t>生态环境保护目标</w:t>
            </w:r>
          </w:p>
        </w:tc>
        <w:tc>
          <w:tcPr>
            <w:tcW w:w="8253" w:type="dxa"/>
            <w:vAlign w:val="center"/>
          </w:tcPr>
          <w:p>
            <w:pPr>
              <w:spacing w:line="360" w:lineRule="auto"/>
              <w:ind w:firstLine="420" w:firstLineChars="200"/>
              <w:rPr>
                <w:color w:val="auto"/>
                <w:szCs w:val="21"/>
              </w:rPr>
            </w:pPr>
            <w:r>
              <w:rPr>
                <w:color w:val="auto"/>
                <w:szCs w:val="21"/>
              </w:rPr>
              <w:t>根据现场调查踏勘本工程主要环境保护目标见表</w:t>
            </w:r>
            <w:r>
              <w:rPr>
                <w:rFonts w:hint="eastAsia"/>
                <w:color w:val="auto"/>
                <w:szCs w:val="21"/>
                <w:lang w:val="en-US" w:eastAsia="zh-CN"/>
              </w:rPr>
              <w:t>3-2</w:t>
            </w:r>
            <w:r>
              <w:rPr>
                <w:color w:val="auto"/>
                <w:szCs w:val="21"/>
              </w:rPr>
              <w:t>。</w:t>
            </w:r>
          </w:p>
          <w:p>
            <w:pPr>
              <w:jc w:val="center"/>
              <w:rPr>
                <w:rFonts w:eastAsia="黑体"/>
                <w:bCs/>
                <w:color w:val="auto"/>
                <w:sz w:val="18"/>
                <w:szCs w:val="18"/>
              </w:rPr>
            </w:pPr>
            <w:r>
              <w:rPr>
                <w:rFonts w:eastAsia="黑体"/>
                <w:bCs/>
                <w:color w:val="auto"/>
                <w:sz w:val="18"/>
                <w:szCs w:val="18"/>
              </w:rPr>
              <w:t>表</w:t>
            </w:r>
            <w:r>
              <w:rPr>
                <w:rFonts w:hint="eastAsia" w:eastAsia="黑体"/>
                <w:bCs/>
                <w:color w:val="auto"/>
                <w:sz w:val="18"/>
                <w:szCs w:val="18"/>
                <w:lang w:val="en-US" w:eastAsia="zh-CN"/>
              </w:rPr>
              <w:t>3-2</w:t>
            </w:r>
            <w:r>
              <w:rPr>
                <w:rFonts w:eastAsia="黑体"/>
                <w:bCs/>
                <w:color w:val="auto"/>
                <w:sz w:val="18"/>
                <w:szCs w:val="18"/>
              </w:rPr>
              <w:t xml:space="preserve">  主要环境保护目标</w:t>
            </w:r>
          </w:p>
          <w:tbl>
            <w:tblPr>
              <w:tblStyle w:val="18"/>
              <w:tblW w:w="812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09"/>
              <w:gridCol w:w="947"/>
              <w:gridCol w:w="12"/>
              <w:gridCol w:w="552"/>
              <w:gridCol w:w="567"/>
              <w:gridCol w:w="567"/>
              <w:gridCol w:w="850"/>
              <w:gridCol w:w="851"/>
              <w:gridCol w:w="850"/>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5" w:type="dxa"/>
                  <w:vMerge w:val="restart"/>
                  <w:tcBorders>
                    <w:tl2br w:val="nil"/>
                    <w:tr2bl w:val="nil"/>
                  </w:tcBorders>
                  <w:vAlign w:val="center"/>
                </w:tcPr>
                <w:p>
                  <w:pPr>
                    <w:spacing w:line="360" w:lineRule="exact"/>
                    <w:jc w:val="center"/>
                    <w:rPr>
                      <w:color w:val="auto"/>
                      <w:szCs w:val="21"/>
                    </w:rPr>
                  </w:pPr>
                  <w:r>
                    <w:rPr>
                      <w:color w:val="auto"/>
                      <w:szCs w:val="21"/>
                    </w:rPr>
                    <w:t>序号</w:t>
                  </w:r>
                </w:p>
              </w:tc>
              <w:tc>
                <w:tcPr>
                  <w:tcW w:w="709" w:type="dxa"/>
                  <w:vMerge w:val="restart"/>
                  <w:tcBorders>
                    <w:tl2br w:val="nil"/>
                    <w:tr2bl w:val="nil"/>
                  </w:tcBorders>
                  <w:vAlign w:val="center"/>
                </w:tcPr>
                <w:p>
                  <w:pPr>
                    <w:spacing w:line="360" w:lineRule="exact"/>
                    <w:jc w:val="center"/>
                    <w:rPr>
                      <w:color w:val="auto"/>
                      <w:szCs w:val="21"/>
                    </w:rPr>
                  </w:pPr>
                  <w:r>
                    <w:rPr>
                      <w:color w:val="auto"/>
                      <w:szCs w:val="21"/>
                    </w:rPr>
                    <w:t>环境</w:t>
                  </w:r>
                </w:p>
                <w:p>
                  <w:pPr>
                    <w:spacing w:line="360" w:lineRule="exact"/>
                    <w:jc w:val="center"/>
                    <w:rPr>
                      <w:color w:val="auto"/>
                      <w:szCs w:val="21"/>
                    </w:rPr>
                  </w:pPr>
                  <w:r>
                    <w:rPr>
                      <w:color w:val="auto"/>
                      <w:szCs w:val="21"/>
                    </w:rPr>
                    <w:t>要素</w:t>
                  </w:r>
                </w:p>
              </w:tc>
              <w:tc>
                <w:tcPr>
                  <w:tcW w:w="2078" w:type="dxa"/>
                  <w:gridSpan w:val="4"/>
                  <w:tcBorders>
                    <w:tl2br w:val="nil"/>
                    <w:tr2bl w:val="nil"/>
                  </w:tcBorders>
                  <w:tcMar>
                    <w:left w:w="28" w:type="dxa"/>
                    <w:right w:w="28" w:type="dxa"/>
                  </w:tcMar>
                  <w:vAlign w:val="center"/>
                </w:tcPr>
                <w:p>
                  <w:pPr>
                    <w:spacing w:line="360" w:lineRule="exact"/>
                    <w:jc w:val="center"/>
                    <w:rPr>
                      <w:color w:val="auto"/>
                      <w:szCs w:val="21"/>
                    </w:rPr>
                  </w:pPr>
                  <w:r>
                    <w:rPr>
                      <w:color w:val="auto"/>
                      <w:szCs w:val="21"/>
                    </w:rPr>
                    <w:t>保护目标</w:t>
                  </w:r>
                </w:p>
              </w:tc>
              <w:tc>
                <w:tcPr>
                  <w:tcW w:w="1417" w:type="dxa"/>
                  <w:gridSpan w:val="2"/>
                  <w:tcBorders>
                    <w:tl2br w:val="nil"/>
                    <w:tr2bl w:val="nil"/>
                  </w:tcBorders>
                  <w:tcMar>
                    <w:left w:w="28" w:type="dxa"/>
                    <w:right w:w="28" w:type="dxa"/>
                  </w:tcMar>
                  <w:vAlign w:val="center"/>
                </w:tcPr>
                <w:p>
                  <w:pPr>
                    <w:spacing w:line="360" w:lineRule="exact"/>
                    <w:jc w:val="center"/>
                    <w:rPr>
                      <w:color w:val="auto"/>
                      <w:szCs w:val="21"/>
                    </w:rPr>
                  </w:pPr>
                  <w:r>
                    <w:rPr>
                      <w:color w:val="auto"/>
                      <w:szCs w:val="21"/>
                    </w:rPr>
                    <w:t>相对厂界</w:t>
                  </w:r>
                </w:p>
              </w:tc>
              <w:tc>
                <w:tcPr>
                  <w:tcW w:w="851" w:type="dxa"/>
                  <w:vMerge w:val="restart"/>
                  <w:tcBorders>
                    <w:tl2br w:val="nil"/>
                    <w:tr2bl w:val="nil"/>
                  </w:tcBorders>
                  <w:tcMar>
                    <w:left w:w="28" w:type="dxa"/>
                    <w:right w:w="28" w:type="dxa"/>
                  </w:tcMar>
                  <w:vAlign w:val="center"/>
                </w:tcPr>
                <w:p>
                  <w:pPr>
                    <w:pStyle w:val="45"/>
                    <w:rPr>
                      <w:rFonts w:ascii="Times New Roman" w:hAnsi="Times New Roman"/>
                      <w:color w:val="auto"/>
                      <w:sz w:val="21"/>
                      <w:szCs w:val="21"/>
                    </w:rPr>
                  </w:pPr>
                  <w:r>
                    <w:rPr>
                      <w:rFonts w:ascii="Times New Roman" w:hAnsi="Times New Roman"/>
                      <w:color w:val="auto"/>
                      <w:sz w:val="21"/>
                      <w:szCs w:val="21"/>
                    </w:rPr>
                    <w:t>保护</w:t>
                  </w:r>
                </w:p>
                <w:p>
                  <w:pPr>
                    <w:pStyle w:val="45"/>
                    <w:rPr>
                      <w:rFonts w:ascii="Times New Roman" w:hAnsi="Times New Roman"/>
                      <w:color w:val="auto"/>
                      <w:sz w:val="21"/>
                      <w:szCs w:val="21"/>
                    </w:rPr>
                  </w:pPr>
                  <w:r>
                    <w:rPr>
                      <w:rFonts w:ascii="Times New Roman" w:hAnsi="Times New Roman"/>
                      <w:color w:val="auto"/>
                      <w:sz w:val="21"/>
                      <w:szCs w:val="21"/>
                    </w:rPr>
                    <w:t>内容</w:t>
                  </w:r>
                </w:p>
              </w:tc>
              <w:tc>
                <w:tcPr>
                  <w:tcW w:w="850" w:type="dxa"/>
                  <w:vMerge w:val="restart"/>
                  <w:tcBorders>
                    <w:tl2br w:val="nil"/>
                    <w:tr2bl w:val="nil"/>
                  </w:tcBorders>
                  <w:tcMar>
                    <w:left w:w="28" w:type="dxa"/>
                    <w:right w:w="28" w:type="dxa"/>
                  </w:tcMar>
                  <w:vAlign w:val="center"/>
                </w:tcPr>
                <w:p>
                  <w:pPr>
                    <w:pStyle w:val="45"/>
                    <w:rPr>
                      <w:rFonts w:ascii="Times New Roman" w:hAnsi="Times New Roman"/>
                      <w:color w:val="auto"/>
                      <w:sz w:val="21"/>
                      <w:szCs w:val="21"/>
                    </w:rPr>
                  </w:pPr>
                  <w:r>
                    <w:rPr>
                      <w:rFonts w:ascii="Times New Roman" w:hAnsi="Times New Roman"/>
                      <w:color w:val="auto"/>
                      <w:sz w:val="21"/>
                      <w:szCs w:val="21"/>
                    </w:rPr>
                    <w:t>环境功能区划</w:t>
                  </w:r>
                </w:p>
              </w:tc>
              <w:tc>
                <w:tcPr>
                  <w:tcW w:w="1798" w:type="dxa"/>
                  <w:vMerge w:val="restart"/>
                  <w:tcBorders>
                    <w:tl2br w:val="nil"/>
                    <w:tr2bl w:val="nil"/>
                  </w:tcBorders>
                  <w:tcMar>
                    <w:left w:w="28" w:type="dxa"/>
                    <w:right w:w="28" w:type="dxa"/>
                  </w:tcMar>
                  <w:vAlign w:val="center"/>
                </w:tcPr>
                <w:p>
                  <w:pPr>
                    <w:spacing w:line="360" w:lineRule="exact"/>
                    <w:jc w:val="center"/>
                    <w:rPr>
                      <w:color w:val="auto"/>
                      <w:szCs w:val="21"/>
                    </w:rPr>
                  </w:pPr>
                  <w:r>
                    <w:rPr>
                      <w:color w:val="auto"/>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5" w:type="dxa"/>
                  <w:vMerge w:val="continue"/>
                  <w:tcBorders>
                    <w:tl2br w:val="nil"/>
                    <w:tr2bl w:val="nil"/>
                  </w:tcBorders>
                  <w:vAlign w:val="center"/>
                </w:tcPr>
                <w:p>
                  <w:pPr>
                    <w:spacing w:line="360" w:lineRule="exact"/>
                    <w:jc w:val="center"/>
                    <w:rPr>
                      <w:color w:val="auto"/>
                      <w:szCs w:val="21"/>
                    </w:rPr>
                  </w:pPr>
                </w:p>
              </w:tc>
              <w:tc>
                <w:tcPr>
                  <w:tcW w:w="709" w:type="dxa"/>
                  <w:vMerge w:val="continue"/>
                  <w:tcBorders>
                    <w:tl2br w:val="nil"/>
                    <w:tr2bl w:val="nil"/>
                  </w:tcBorders>
                  <w:vAlign w:val="center"/>
                </w:tcPr>
                <w:p>
                  <w:pPr>
                    <w:spacing w:line="360" w:lineRule="exact"/>
                    <w:jc w:val="center"/>
                    <w:rPr>
                      <w:color w:val="auto"/>
                      <w:szCs w:val="21"/>
                    </w:rPr>
                  </w:pPr>
                </w:p>
              </w:tc>
              <w:tc>
                <w:tcPr>
                  <w:tcW w:w="959" w:type="dxa"/>
                  <w:gridSpan w:val="2"/>
                  <w:tcBorders>
                    <w:tl2br w:val="nil"/>
                    <w:tr2bl w:val="nil"/>
                  </w:tcBorders>
                  <w:tcMar>
                    <w:left w:w="28" w:type="dxa"/>
                    <w:right w:w="28" w:type="dxa"/>
                  </w:tcMar>
                  <w:vAlign w:val="center"/>
                </w:tcPr>
                <w:p>
                  <w:pPr>
                    <w:spacing w:line="360" w:lineRule="exact"/>
                    <w:jc w:val="center"/>
                    <w:rPr>
                      <w:color w:val="auto"/>
                      <w:szCs w:val="21"/>
                    </w:rPr>
                  </w:pPr>
                  <w:r>
                    <w:rPr>
                      <w:color w:val="auto"/>
                      <w:szCs w:val="21"/>
                    </w:rPr>
                    <w:t>自然村</w:t>
                  </w:r>
                </w:p>
              </w:tc>
              <w:tc>
                <w:tcPr>
                  <w:tcW w:w="552" w:type="dxa"/>
                  <w:tcBorders>
                    <w:tl2br w:val="nil"/>
                    <w:tr2bl w:val="nil"/>
                  </w:tcBorders>
                  <w:tcMar>
                    <w:left w:w="28" w:type="dxa"/>
                    <w:right w:w="28" w:type="dxa"/>
                  </w:tcMar>
                  <w:vAlign w:val="center"/>
                </w:tcPr>
                <w:p>
                  <w:pPr>
                    <w:spacing w:line="360" w:lineRule="exact"/>
                    <w:jc w:val="center"/>
                    <w:rPr>
                      <w:color w:val="auto"/>
                      <w:szCs w:val="21"/>
                    </w:rPr>
                  </w:pPr>
                  <w:r>
                    <w:rPr>
                      <w:color w:val="auto"/>
                      <w:szCs w:val="21"/>
                    </w:rPr>
                    <w:t>户数</w:t>
                  </w:r>
                </w:p>
              </w:tc>
              <w:tc>
                <w:tcPr>
                  <w:tcW w:w="567" w:type="dxa"/>
                  <w:tcBorders>
                    <w:tl2br w:val="nil"/>
                    <w:tr2bl w:val="nil"/>
                  </w:tcBorders>
                  <w:tcMar>
                    <w:left w:w="28" w:type="dxa"/>
                    <w:right w:w="28" w:type="dxa"/>
                  </w:tcMar>
                  <w:vAlign w:val="center"/>
                </w:tcPr>
                <w:p>
                  <w:pPr>
                    <w:spacing w:line="360" w:lineRule="exact"/>
                    <w:jc w:val="center"/>
                    <w:rPr>
                      <w:color w:val="auto"/>
                      <w:szCs w:val="21"/>
                    </w:rPr>
                  </w:pPr>
                  <w:r>
                    <w:rPr>
                      <w:color w:val="auto"/>
                      <w:szCs w:val="21"/>
                    </w:rPr>
                    <w:t>人数</w:t>
                  </w:r>
                </w:p>
              </w:tc>
              <w:tc>
                <w:tcPr>
                  <w:tcW w:w="567" w:type="dxa"/>
                  <w:tcBorders>
                    <w:tl2br w:val="nil"/>
                    <w:tr2bl w:val="nil"/>
                  </w:tcBorders>
                  <w:tcMar>
                    <w:left w:w="28" w:type="dxa"/>
                    <w:right w:w="28" w:type="dxa"/>
                  </w:tcMar>
                  <w:vAlign w:val="center"/>
                </w:tcPr>
                <w:p>
                  <w:pPr>
                    <w:spacing w:line="360" w:lineRule="exact"/>
                    <w:jc w:val="center"/>
                    <w:rPr>
                      <w:color w:val="auto"/>
                      <w:szCs w:val="21"/>
                    </w:rPr>
                  </w:pPr>
                  <w:r>
                    <w:rPr>
                      <w:color w:val="auto"/>
                      <w:szCs w:val="21"/>
                    </w:rPr>
                    <w:t>方位</w:t>
                  </w:r>
                </w:p>
              </w:tc>
              <w:tc>
                <w:tcPr>
                  <w:tcW w:w="850" w:type="dxa"/>
                  <w:tcBorders>
                    <w:tl2br w:val="nil"/>
                    <w:tr2bl w:val="nil"/>
                  </w:tcBorders>
                  <w:tcMar>
                    <w:left w:w="28" w:type="dxa"/>
                    <w:right w:w="28" w:type="dxa"/>
                  </w:tcMar>
                  <w:vAlign w:val="center"/>
                </w:tcPr>
                <w:p>
                  <w:pPr>
                    <w:spacing w:line="360" w:lineRule="exact"/>
                    <w:jc w:val="center"/>
                    <w:rPr>
                      <w:color w:val="auto"/>
                      <w:szCs w:val="21"/>
                    </w:rPr>
                  </w:pPr>
                  <w:r>
                    <w:rPr>
                      <w:color w:val="auto"/>
                      <w:szCs w:val="21"/>
                    </w:rPr>
                    <w:t>距离(m)</w:t>
                  </w:r>
                </w:p>
              </w:tc>
              <w:tc>
                <w:tcPr>
                  <w:tcW w:w="851" w:type="dxa"/>
                  <w:vMerge w:val="continue"/>
                  <w:tcBorders>
                    <w:tl2br w:val="nil"/>
                    <w:tr2bl w:val="nil"/>
                  </w:tcBorders>
                  <w:tcMar>
                    <w:left w:w="28" w:type="dxa"/>
                    <w:right w:w="28" w:type="dxa"/>
                  </w:tcMar>
                  <w:vAlign w:val="center"/>
                </w:tcPr>
                <w:p>
                  <w:pPr>
                    <w:spacing w:line="360" w:lineRule="exact"/>
                    <w:jc w:val="center"/>
                    <w:rPr>
                      <w:color w:val="auto"/>
                      <w:szCs w:val="21"/>
                    </w:rPr>
                  </w:pPr>
                </w:p>
              </w:tc>
              <w:tc>
                <w:tcPr>
                  <w:tcW w:w="850" w:type="dxa"/>
                  <w:vMerge w:val="continue"/>
                  <w:tcBorders>
                    <w:tl2br w:val="nil"/>
                    <w:tr2bl w:val="nil"/>
                  </w:tcBorders>
                  <w:tcMar>
                    <w:left w:w="28" w:type="dxa"/>
                    <w:right w:w="28" w:type="dxa"/>
                  </w:tcMar>
                  <w:vAlign w:val="center"/>
                </w:tcPr>
                <w:p>
                  <w:pPr>
                    <w:spacing w:line="360" w:lineRule="exact"/>
                    <w:jc w:val="center"/>
                    <w:rPr>
                      <w:color w:val="auto"/>
                      <w:szCs w:val="21"/>
                    </w:rPr>
                  </w:pPr>
                </w:p>
              </w:tc>
              <w:tc>
                <w:tcPr>
                  <w:tcW w:w="1798" w:type="dxa"/>
                  <w:vMerge w:val="continue"/>
                  <w:tcBorders>
                    <w:tl2br w:val="nil"/>
                    <w:tr2bl w:val="nil"/>
                  </w:tcBorders>
                  <w:tcMar>
                    <w:left w:w="28" w:type="dxa"/>
                    <w:right w:w="28" w:type="dxa"/>
                  </w:tcMar>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right"/>
              </w:trPr>
              <w:tc>
                <w:tcPr>
                  <w:tcW w:w="425" w:type="dxa"/>
                  <w:vMerge w:val="restart"/>
                  <w:tcBorders>
                    <w:tl2br w:val="nil"/>
                    <w:tr2bl w:val="nil"/>
                  </w:tcBorders>
                  <w:vAlign w:val="center"/>
                </w:tcPr>
                <w:p>
                  <w:pPr>
                    <w:spacing w:line="360" w:lineRule="exact"/>
                    <w:jc w:val="center"/>
                    <w:rPr>
                      <w:color w:val="auto"/>
                      <w:szCs w:val="21"/>
                    </w:rPr>
                  </w:pPr>
                  <w:r>
                    <w:rPr>
                      <w:color w:val="auto"/>
                      <w:szCs w:val="21"/>
                    </w:rPr>
                    <w:t>1</w:t>
                  </w:r>
                </w:p>
              </w:tc>
              <w:tc>
                <w:tcPr>
                  <w:tcW w:w="709" w:type="dxa"/>
                  <w:vMerge w:val="restart"/>
                  <w:tcBorders>
                    <w:tl2br w:val="nil"/>
                    <w:tr2bl w:val="nil"/>
                  </w:tcBorders>
                  <w:vAlign w:val="center"/>
                </w:tcPr>
                <w:p>
                  <w:pPr>
                    <w:spacing w:line="360" w:lineRule="exact"/>
                    <w:jc w:val="center"/>
                    <w:rPr>
                      <w:color w:val="auto"/>
                      <w:szCs w:val="21"/>
                    </w:rPr>
                  </w:pPr>
                  <w:r>
                    <w:rPr>
                      <w:color w:val="auto"/>
                      <w:szCs w:val="21"/>
                    </w:rPr>
                    <w:t>环境</w:t>
                  </w:r>
                </w:p>
                <w:p>
                  <w:pPr>
                    <w:spacing w:line="360" w:lineRule="exact"/>
                    <w:jc w:val="center"/>
                    <w:rPr>
                      <w:color w:val="auto"/>
                      <w:szCs w:val="21"/>
                    </w:rPr>
                  </w:pPr>
                  <w:r>
                    <w:rPr>
                      <w:color w:val="auto"/>
                      <w:szCs w:val="21"/>
                    </w:rPr>
                    <w:t>空气</w:t>
                  </w:r>
                </w:p>
              </w:tc>
              <w:tc>
                <w:tcPr>
                  <w:tcW w:w="959" w:type="dxa"/>
                  <w:gridSpan w:val="2"/>
                  <w:tcBorders>
                    <w:tl2br w:val="nil"/>
                    <w:tr2bl w:val="nil"/>
                  </w:tcBorders>
                  <w:tcMar>
                    <w:left w:w="28" w:type="dxa"/>
                    <w:right w:w="28" w:type="dxa"/>
                  </w:tcMar>
                  <w:vAlign w:val="center"/>
                </w:tcPr>
                <w:p>
                  <w:pPr>
                    <w:snapToGrid w:val="0"/>
                    <w:jc w:val="center"/>
                    <w:rPr>
                      <w:rFonts w:hint="eastAsia" w:eastAsia="宋体"/>
                      <w:color w:val="auto"/>
                      <w:szCs w:val="21"/>
                      <w:lang w:eastAsia="zh-CN"/>
                    </w:rPr>
                  </w:pPr>
                  <w:r>
                    <w:rPr>
                      <w:rFonts w:hint="eastAsia"/>
                      <w:color w:val="auto"/>
                      <w:szCs w:val="21"/>
                      <w:lang w:val="en-US" w:eastAsia="zh-CN"/>
                    </w:rPr>
                    <w:t>九台村</w:t>
                  </w:r>
                </w:p>
              </w:tc>
              <w:tc>
                <w:tcPr>
                  <w:tcW w:w="552" w:type="dxa"/>
                  <w:tcBorders>
                    <w:tl2br w:val="nil"/>
                    <w:tr2bl w:val="nil"/>
                  </w:tcBorders>
                  <w:tcMar>
                    <w:left w:w="28" w:type="dxa"/>
                    <w:right w:w="28" w:type="dxa"/>
                  </w:tcMar>
                  <w:vAlign w:val="center"/>
                </w:tcPr>
                <w:p>
                  <w:pPr>
                    <w:spacing w:line="360" w:lineRule="exact"/>
                    <w:jc w:val="center"/>
                    <w:rPr>
                      <w:rFonts w:hint="default" w:eastAsia="宋体"/>
                      <w:color w:val="auto"/>
                      <w:szCs w:val="21"/>
                      <w:lang w:val="en-US" w:eastAsia="zh-CN"/>
                    </w:rPr>
                  </w:pPr>
                  <w:r>
                    <w:rPr>
                      <w:rFonts w:hint="eastAsia"/>
                      <w:color w:val="auto"/>
                      <w:szCs w:val="21"/>
                      <w:lang w:val="en-US" w:eastAsia="zh-CN"/>
                    </w:rPr>
                    <w:t>123</w:t>
                  </w:r>
                </w:p>
              </w:tc>
              <w:tc>
                <w:tcPr>
                  <w:tcW w:w="567" w:type="dxa"/>
                  <w:tcBorders>
                    <w:tl2br w:val="nil"/>
                    <w:tr2bl w:val="nil"/>
                  </w:tcBorders>
                  <w:tcMar>
                    <w:left w:w="28" w:type="dxa"/>
                    <w:right w:w="28" w:type="dxa"/>
                  </w:tcMar>
                  <w:vAlign w:val="center"/>
                </w:tcPr>
                <w:p>
                  <w:pPr>
                    <w:snapToGrid w:val="0"/>
                    <w:jc w:val="center"/>
                    <w:rPr>
                      <w:color w:val="auto"/>
                      <w:szCs w:val="21"/>
                    </w:rPr>
                  </w:pPr>
                  <w:r>
                    <w:rPr>
                      <w:rFonts w:hint="eastAsia"/>
                      <w:color w:val="auto"/>
                      <w:szCs w:val="21"/>
                      <w:lang w:val="en-US" w:eastAsia="zh-CN"/>
                    </w:rPr>
                    <w:t>452</w:t>
                  </w:r>
                  <w:r>
                    <w:rPr>
                      <w:color w:val="auto"/>
                      <w:szCs w:val="21"/>
                    </w:rPr>
                    <w:t xml:space="preserve"> </w:t>
                  </w:r>
                </w:p>
              </w:tc>
              <w:tc>
                <w:tcPr>
                  <w:tcW w:w="567" w:type="dxa"/>
                  <w:tcBorders>
                    <w:tl2br w:val="nil"/>
                    <w:tr2bl w:val="nil"/>
                  </w:tcBorders>
                  <w:tcMar>
                    <w:left w:w="28" w:type="dxa"/>
                    <w:right w:w="28" w:type="dxa"/>
                  </w:tcMar>
                  <w:vAlign w:val="center"/>
                </w:tcPr>
                <w:p>
                  <w:pPr>
                    <w:snapToGrid w:val="0"/>
                    <w:jc w:val="center"/>
                    <w:rPr>
                      <w:color w:val="auto"/>
                      <w:szCs w:val="21"/>
                    </w:rPr>
                  </w:pPr>
                  <w:r>
                    <w:rPr>
                      <w:color w:val="auto"/>
                      <w:szCs w:val="21"/>
                    </w:rPr>
                    <w:t>S</w:t>
                  </w:r>
                </w:p>
              </w:tc>
              <w:tc>
                <w:tcPr>
                  <w:tcW w:w="850" w:type="dxa"/>
                  <w:tcBorders>
                    <w:tl2br w:val="nil"/>
                    <w:tr2bl w:val="nil"/>
                  </w:tcBorders>
                  <w:tcMar>
                    <w:left w:w="28" w:type="dxa"/>
                    <w:right w:w="28" w:type="dxa"/>
                  </w:tcMar>
                  <w:vAlign w:val="center"/>
                </w:tcPr>
                <w:p>
                  <w:pPr>
                    <w:snapToGrid w:val="0"/>
                    <w:jc w:val="center"/>
                    <w:rPr>
                      <w:rFonts w:hint="default" w:eastAsia="宋体"/>
                      <w:color w:val="auto"/>
                      <w:szCs w:val="21"/>
                      <w:lang w:val="en-US" w:eastAsia="zh-CN"/>
                    </w:rPr>
                  </w:pPr>
                  <w:r>
                    <w:rPr>
                      <w:rFonts w:hint="eastAsia"/>
                      <w:color w:val="auto"/>
                      <w:szCs w:val="21"/>
                      <w:lang w:val="en-US" w:eastAsia="zh-CN"/>
                    </w:rPr>
                    <w:t>20</w:t>
                  </w:r>
                </w:p>
              </w:tc>
              <w:tc>
                <w:tcPr>
                  <w:tcW w:w="851" w:type="dxa"/>
                  <w:vMerge w:val="restart"/>
                  <w:tcBorders>
                    <w:tl2br w:val="nil"/>
                    <w:tr2bl w:val="nil"/>
                  </w:tcBorders>
                  <w:tcMar>
                    <w:left w:w="28" w:type="dxa"/>
                    <w:right w:w="28" w:type="dxa"/>
                  </w:tcMar>
                  <w:vAlign w:val="center"/>
                </w:tcPr>
                <w:p>
                  <w:pPr>
                    <w:pStyle w:val="45"/>
                    <w:rPr>
                      <w:rFonts w:ascii="Times New Roman" w:hAnsi="Times New Roman"/>
                      <w:color w:val="auto"/>
                      <w:sz w:val="21"/>
                      <w:szCs w:val="21"/>
                    </w:rPr>
                  </w:pPr>
                  <w:r>
                    <w:rPr>
                      <w:rFonts w:ascii="Times New Roman" w:hAnsi="Times New Roman"/>
                      <w:color w:val="auto"/>
                      <w:sz w:val="21"/>
                      <w:szCs w:val="21"/>
                    </w:rPr>
                    <w:t>环境空气</w:t>
                  </w:r>
                </w:p>
              </w:tc>
              <w:tc>
                <w:tcPr>
                  <w:tcW w:w="850" w:type="dxa"/>
                  <w:vMerge w:val="restart"/>
                  <w:tcBorders>
                    <w:tl2br w:val="nil"/>
                    <w:tr2bl w:val="nil"/>
                  </w:tcBorders>
                  <w:tcMar>
                    <w:left w:w="28" w:type="dxa"/>
                    <w:right w:w="28" w:type="dxa"/>
                  </w:tcMar>
                  <w:vAlign w:val="center"/>
                </w:tcPr>
                <w:p>
                  <w:pPr>
                    <w:pStyle w:val="45"/>
                    <w:rPr>
                      <w:rFonts w:ascii="Times New Roman" w:hAnsi="Times New Roman"/>
                      <w:color w:val="auto"/>
                      <w:sz w:val="21"/>
                      <w:szCs w:val="21"/>
                    </w:rPr>
                  </w:pPr>
                  <w:r>
                    <w:rPr>
                      <w:rFonts w:ascii="Times New Roman" w:hAnsi="Times New Roman"/>
                      <w:color w:val="auto"/>
                      <w:sz w:val="21"/>
                      <w:szCs w:val="21"/>
                    </w:rPr>
                    <w:t>二类区</w:t>
                  </w:r>
                </w:p>
              </w:tc>
              <w:tc>
                <w:tcPr>
                  <w:tcW w:w="1798" w:type="dxa"/>
                  <w:vMerge w:val="restart"/>
                  <w:tcBorders>
                    <w:tl2br w:val="nil"/>
                    <w:tr2bl w:val="nil"/>
                  </w:tcBorders>
                  <w:tcMar>
                    <w:left w:w="28" w:type="dxa"/>
                    <w:right w:w="28" w:type="dxa"/>
                  </w:tcMar>
                  <w:vAlign w:val="center"/>
                </w:tcPr>
                <w:p>
                  <w:pPr>
                    <w:spacing w:line="360" w:lineRule="exact"/>
                    <w:jc w:val="center"/>
                    <w:rPr>
                      <w:color w:val="auto"/>
                      <w:szCs w:val="21"/>
                    </w:rPr>
                  </w:pPr>
                  <w:r>
                    <w:rPr>
                      <w:color w:val="auto"/>
                      <w:szCs w:val="21"/>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425" w:type="dxa"/>
                  <w:vMerge w:val="continue"/>
                  <w:tcBorders>
                    <w:tl2br w:val="nil"/>
                    <w:tr2bl w:val="nil"/>
                  </w:tcBorders>
                  <w:vAlign w:val="center"/>
                </w:tcPr>
                <w:p>
                  <w:pPr>
                    <w:spacing w:line="360" w:lineRule="exact"/>
                    <w:jc w:val="center"/>
                    <w:rPr>
                      <w:color w:val="auto"/>
                      <w:szCs w:val="21"/>
                    </w:rPr>
                  </w:pPr>
                </w:p>
              </w:tc>
              <w:tc>
                <w:tcPr>
                  <w:tcW w:w="709" w:type="dxa"/>
                  <w:vMerge w:val="continue"/>
                  <w:tcBorders>
                    <w:tl2br w:val="nil"/>
                    <w:tr2bl w:val="nil"/>
                  </w:tcBorders>
                  <w:vAlign w:val="center"/>
                </w:tcPr>
                <w:p>
                  <w:pPr>
                    <w:spacing w:line="360" w:lineRule="exact"/>
                    <w:jc w:val="center"/>
                    <w:rPr>
                      <w:color w:val="auto"/>
                      <w:szCs w:val="21"/>
                    </w:rPr>
                  </w:pPr>
                </w:p>
              </w:tc>
              <w:tc>
                <w:tcPr>
                  <w:tcW w:w="959" w:type="dxa"/>
                  <w:gridSpan w:val="2"/>
                  <w:tcBorders>
                    <w:tl2br w:val="nil"/>
                    <w:tr2bl w:val="nil"/>
                  </w:tcBorders>
                  <w:tcMar>
                    <w:left w:w="28" w:type="dxa"/>
                    <w:right w:w="28" w:type="dxa"/>
                  </w:tcMar>
                  <w:vAlign w:val="center"/>
                </w:tcPr>
                <w:p>
                  <w:pPr>
                    <w:snapToGrid w:val="0"/>
                    <w:jc w:val="center"/>
                    <w:rPr>
                      <w:rFonts w:hint="eastAsia" w:eastAsia="宋体"/>
                      <w:color w:val="auto"/>
                      <w:szCs w:val="21"/>
                      <w:lang w:eastAsia="zh-CN"/>
                    </w:rPr>
                  </w:pPr>
                  <w:r>
                    <w:rPr>
                      <w:rFonts w:hint="eastAsia"/>
                      <w:color w:val="auto"/>
                      <w:szCs w:val="21"/>
                      <w:lang w:val="en-US" w:eastAsia="zh-CN"/>
                    </w:rPr>
                    <w:t>马桑坝</w:t>
                  </w:r>
                </w:p>
              </w:tc>
              <w:tc>
                <w:tcPr>
                  <w:tcW w:w="552" w:type="dxa"/>
                  <w:tcBorders>
                    <w:tl2br w:val="nil"/>
                    <w:tr2bl w:val="nil"/>
                  </w:tcBorders>
                  <w:tcMar>
                    <w:left w:w="28" w:type="dxa"/>
                    <w:right w:w="28" w:type="dxa"/>
                  </w:tcMar>
                  <w:vAlign w:val="center"/>
                </w:tcPr>
                <w:p>
                  <w:pPr>
                    <w:spacing w:line="360" w:lineRule="exact"/>
                    <w:jc w:val="center"/>
                    <w:rPr>
                      <w:rFonts w:hint="default" w:eastAsia="宋体"/>
                      <w:color w:val="auto"/>
                      <w:szCs w:val="21"/>
                      <w:lang w:val="en-US" w:eastAsia="zh-CN"/>
                    </w:rPr>
                  </w:pPr>
                  <w:r>
                    <w:rPr>
                      <w:rFonts w:hint="eastAsia"/>
                      <w:color w:val="auto"/>
                      <w:szCs w:val="21"/>
                      <w:lang w:val="en-US" w:eastAsia="zh-CN"/>
                    </w:rPr>
                    <w:t>30</w:t>
                  </w:r>
                </w:p>
              </w:tc>
              <w:tc>
                <w:tcPr>
                  <w:tcW w:w="567" w:type="dxa"/>
                  <w:tcBorders>
                    <w:tl2br w:val="nil"/>
                    <w:tr2bl w:val="nil"/>
                  </w:tcBorders>
                  <w:tcMar>
                    <w:left w:w="28" w:type="dxa"/>
                    <w:right w:w="28" w:type="dxa"/>
                  </w:tcMar>
                  <w:vAlign w:val="center"/>
                </w:tcPr>
                <w:p>
                  <w:pPr>
                    <w:snapToGrid w:val="0"/>
                    <w:jc w:val="center"/>
                    <w:rPr>
                      <w:color w:val="auto"/>
                      <w:szCs w:val="21"/>
                    </w:rPr>
                  </w:pPr>
                  <w:r>
                    <w:rPr>
                      <w:color w:val="auto"/>
                      <w:szCs w:val="21"/>
                    </w:rPr>
                    <w:t>1</w:t>
                  </w:r>
                  <w:r>
                    <w:rPr>
                      <w:rFonts w:hint="eastAsia"/>
                      <w:color w:val="auto"/>
                      <w:szCs w:val="21"/>
                      <w:lang w:val="en-US" w:eastAsia="zh-CN"/>
                    </w:rPr>
                    <w:t>2</w:t>
                  </w:r>
                  <w:r>
                    <w:rPr>
                      <w:color w:val="auto"/>
                      <w:szCs w:val="21"/>
                    </w:rPr>
                    <w:t xml:space="preserve">0 </w:t>
                  </w:r>
                </w:p>
              </w:tc>
              <w:tc>
                <w:tcPr>
                  <w:tcW w:w="567" w:type="dxa"/>
                  <w:tcBorders>
                    <w:tl2br w:val="nil"/>
                    <w:tr2bl w:val="nil"/>
                  </w:tcBorders>
                  <w:tcMar>
                    <w:left w:w="28" w:type="dxa"/>
                    <w:right w:w="28" w:type="dxa"/>
                  </w:tcMar>
                  <w:vAlign w:val="center"/>
                </w:tcPr>
                <w:p>
                  <w:pPr>
                    <w:snapToGrid w:val="0"/>
                    <w:jc w:val="center"/>
                    <w:rPr>
                      <w:color w:val="auto"/>
                      <w:szCs w:val="21"/>
                    </w:rPr>
                  </w:pPr>
                  <w:r>
                    <w:rPr>
                      <w:color w:val="auto"/>
                      <w:szCs w:val="21"/>
                    </w:rPr>
                    <w:t>N</w:t>
                  </w:r>
                </w:p>
              </w:tc>
              <w:tc>
                <w:tcPr>
                  <w:tcW w:w="850" w:type="dxa"/>
                  <w:tcBorders>
                    <w:tl2br w:val="nil"/>
                    <w:tr2bl w:val="nil"/>
                  </w:tcBorders>
                  <w:tcMar>
                    <w:left w:w="28" w:type="dxa"/>
                    <w:right w:w="28" w:type="dxa"/>
                  </w:tcMar>
                  <w:vAlign w:val="center"/>
                </w:tcPr>
                <w:p>
                  <w:pPr>
                    <w:snapToGrid w:val="0"/>
                    <w:jc w:val="center"/>
                    <w:rPr>
                      <w:color w:val="auto"/>
                      <w:szCs w:val="21"/>
                    </w:rPr>
                  </w:pPr>
                  <w:r>
                    <w:rPr>
                      <w:rFonts w:hint="eastAsia"/>
                      <w:color w:val="auto"/>
                      <w:szCs w:val="21"/>
                      <w:lang w:val="en-US" w:eastAsia="zh-CN"/>
                    </w:rPr>
                    <w:t>6</w:t>
                  </w:r>
                  <w:r>
                    <w:rPr>
                      <w:color w:val="auto"/>
                      <w:szCs w:val="21"/>
                    </w:rPr>
                    <w:t>0</w:t>
                  </w:r>
                </w:p>
              </w:tc>
              <w:tc>
                <w:tcPr>
                  <w:tcW w:w="851" w:type="dxa"/>
                  <w:vMerge w:val="continue"/>
                  <w:tcBorders>
                    <w:tl2br w:val="nil"/>
                    <w:tr2bl w:val="nil"/>
                  </w:tcBorders>
                  <w:tcMar>
                    <w:left w:w="28" w:type="dxa"/>
                    <w:right w:w="28" w:type="dxa"/>
                  </w:tcMar>
                  <w:vAlign w:val="center"/>
                </w:tcPr>
                <w:p>
                  <w:pPr>
                    <w:pStyle w:val="45"/>
                    <w:rPr>
                      <w:rFonts w:ascii="Times New Roman" w:hAnsi="Times New Roman"/>
                      <w:color w:val="auto"/>
                      <w:sz w:val="21"/>
                      <w:szCs w:val="21"/>
                    </w:rPr>
                  </w:pPr>
                </w:p>
              </w:tc>
              <w:tc>
                <w:tcPr>
                  <w:tcW w:w="850" w:type="dxa"/>
                  <w:vMerge w:val="continue"/>
                  <w:tcBorders>
                    <w:tl2br w:val="nil"/>
                    <w:tr2bl w:val="nil"/>
                  </w:tcBorders>
                  <w:tcMar>
                    <w:left w:w="28" w:type="dxa"/>
                    <w:right w:w="28" w:type="dxa"/>
                  </w:tcMar>
                  <w:vAlign w:val="center"/>
                </w:tcPr>
                <w:p>
                  <w:pPr>
                    <w:pStyle w:val="45"/>
                    <w:rPr>
                      <w:rFonts w:ascii="Times New Roman" w:hAnsi="Times New Roman"/>
                      <w:color w:val="auto"/>
                      <w:sz w:val="21"/>
                      <w:szCs w:val="21"/>
                    </w:rPr>
                  </w:pPr>
                </w:p>
              </w:tc>
              <w:tc>
                <w:tcPr>
                  <w:tcW w:w="1798" w:type="dxa"/>
                  <w:vMerge w:val="continue"/>
                  <w:tcBorders>
                    <w:tl2br w:val="nil"/>
                    <w:tr2bl w:val="nil"/>
                  </w:tcBorders>
                  <w:tcMar>
                    <w:left w:w="28" w:type="dxa"/>
                    <w:right w:w="28" w:type="dxa"/>
                  </w:tcMar>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425" w:type="dxa"/>
                  <w:vMerge w:val="continue"/>
                  <w:tcBorders>
                    <w:tl2br w:val="nil"/>
                    <w:tr2bl w:val="nil"/>
                  </w:tcBorders>
                  <w:vAlign w:val="center"/>
                </w:tcPr>
                <w:p>
                  <w:pPr>
                    <w:spacing w:line="360" w:lineRule="exact"/>
                    <w:jc w:val="center"/>
                    <w:rPr>
                      <w:color w:val="auto"/>
                      <w:szCs w:val="21"/>
                    </w:rPr>
                  </w:pPr>
                </w:p>
              </w:tc>
              <w:tc>
                <w:tcPr>
                  <w:tcW w:w="709" w:type="dxa"/>
                  <w:vMerge w:val="continue"/>
                  <w:tcBorders>
                    <w:tl2br w:val="nil"/>
                    <w:tr2bl w:val="nil"/>
                  </w:tcBorders>
                  <w:vAlign w:val="center"/>
                </w:tcPr>
                <w:p>
                  <w:pPr>
                    <w:spacing w:line="360" w:lineRule="exact"/>
                    <w:jc w:val="center"/>
                    <w:rPr>
                      <w:color w:val="auto"/>
                      <w:szCs w:val="21"/>
                    </w:rPr>
                  </w:pPr>
                </w:p>
              </w:tc>
              <w:tc>
                <w:tcPr>
                  <w:tcW w:w="959" w:type="dxa"/>
                  <w:gridSpan w:val="2"/>
                  <w:tcBorders>
                    <w:tl2br w:val="nil"/>
                    <w:tr2bl w:val="nil"/>
                  </w:tcBorders>
                  <w:tcMar>
                    <w:left w:w="28" w:type="dxa"/>
                    <w:right w:w="28" w:type="dxa"/>
                  </w:tcMar>
                  <w:vAlign w:val="center"/>
                </w:tcPr>
                <w:p>
                  <w:pPr>
                    <w:snapToGrid w:val="0"/>
                    <w:jc w:val="center"/>
                    <w:rPr>
                      <w:rFonts w:hint="default" w:eastAsia="宋体"/>
                      <w:color w:val="auto"/>
                      <w:szCs w:val="21"/>
                      <w:lang w:val="en-US" w:eastAsia="zh-CN"/>
                    </w:rPr>
                  </w:pPr>
                  <w:r>
                    <w:rPr>
                      <w:rFonts w:hint="eastAsia"/>
                      <w:color w:val="auto"/>
                      <w:szCs w:val="21"/>
                      <w:lang w:val="en-US" w:eastAsia="zh-CN"/>
                    </w:rPr>
                    <w:t>武学村二组</w:t>
                  </w:r>
                </w:p>
              </w:tc>
              <w:tc>
                <w:tcPr>
                  <w:tcW w:w="552" w:type="dxa"/>
                  <w:tcBorders>
                    <w:tl2br w:val="nil"/>
                    <w:tr2bl w:val="nil"/>
                  </w:tcBorders>
                  <w:tcMar>
                    <w:left w:w="28" w:type="dxa"/>
                    <w:right w:w="28" w:type="dxa"/>
                  </w:tcMar>
                  <w:vAlign w:val="center"/>
                </w:tcPr>
                <w:p>
                  <w:pPr>
                    <w:spacing w:line="360" w:lineRule="exact"/>
                    <w:jc w:val="center"/>
                    <w:rPr>
                      <w:color w:val="auto"/>
                      <w:szCs w:val="21"/>
                    </w:rPr>
                  </w:pPr>
                  <w:r>
                    <w:rPr>
                      <w:rFonts w:hint="eastAsia"/>
                      <w:color w:val="auto"/>
                      <w:szCs w:val="21"/>
                      <w:lang w:val="en-US" w:eastAsia="zh-CN"/>
                    </w:rPr>
                    <w:t>1</w:t>
                  </w:r>
                  <w:r>
                    <w:rPr>
                      <w:color w:val="auto"/>
                      <w:szCs w:val="21"/>
                    </w:rPr>
                    <w:t>0</w:t>
                  </w:r>
                </w:p>
              </w:tc>
              <w:tc>
                <w:tcPr>
                  <w:tcW w:w="567" w:type="dxa"/>
                  <w:tcBorders>
                    <w:tl2br w:val="nil"/>
                    <w:tr2bl w:val="nil"/>
                  </w:tcBorders>
                  <w:tcMar>
                    <w:left w:w="28" w:type="dxa"/>
                    <w:right w:w="28" w:type="dxa"/>
                  </w:tcMar>
                  <w:vAlign w:val="center"/>
                </w:tcPr>
                <w:p>
                  <w:pPr>
                    <w:snapToGrid w:val="0"/>
                    <w:jc w:val="center"/>
                    <w:rPr>
                      <w:color w:val="auto"/>
                      <w:szCs w:val="21"/>
                    </w:rPr>
                  </w:pPr>
                  <w:r>
                    <w:rPr>
                      <w:rFonts w:hint="eastAsia"/>
                      <w:color w:val="auto"/>
                      <w:szCs w:val="21"/>
                      <w:lang w:val="en-US" w:eastAsia="zh-CN"/>
                    </w:rPr>
                    <w:t>4</w:t>
                  </w:r>
                  <w:r>
                    <w:rPr>
                      <w:color w:val="auto"/>
                      <w:szCs w:val="21"/>
                    </w:rPr>
                    <w:t>0</w:t>
                  </w:r>
                </w:p>
              </w:tc>
              <w:tc>
                <w:tcPr>
                  <w:tcW w:w="567" w:type="dxa"/>
                  <w:tcBorders>
                    <w:tl2br w:val="nil"/>
                    <w:tr2bl w:val="nil"/>
                  </w:tcBorders>
                  <w:tcMar>
                    <w:left w:w="28" w:type="dxa"/>
                    <w:right w:w="28" w:type="dxa"/>
                  </w:tcMar>
                  <w:vAlign w:val="center"/>
                </w:tcPr>
                <w:p>
                  <w:pPr>
                    <w:snapToGrid w:val="0"/>
                    <w:jc w:val="center"/>
                    <w:rPr>
                      <w:color w:val="auto"/>
                      <w:szCs w:val="21"/>
                    </w:rPr>
                  </w:pPr>
                  <w:r>
                    <w:rPr>
                      <w:color w:val="auto"/>
                      <w:szCs w:val="21"/>
                    </w:rPr>
                    <w:t>N</w:t>
                  </w:r>
                </w:p>
              </w:tc>
              <w:tc>
                <w:tcPr>
                  <w:tcW w:w="850" w:type="dxa"/>
                  <w:tcBorders>
                    <w:tl2br w:val="nil"/>
                    <w:tr2bl w:val="nil"/>
                  </w:tcBorders>
                  <w:tcMar>
                    <w:left w:w="28" w:type="dxa"/>
                    <w:right w:w="28" w:type="dxa"/>
                  </w:tcMar>
                  <w:vAlign w:val="center"/>
                </w:tcPr>
                <w:p>
                  <w:pPr>
                    <w:snapToGrid w:val="0"/>
                    <w:jc w:val="center"/>
                    <w:rPr>
                      <w:rFonts w:hint="default" w:eastAsia="宋体"/>
                      <w:color w:val="auto"/>
                      <w:szCs w:val="21"/>
                      <w:lang w:val="en-US" w:eastAsia="zh-CN"/>
                    </w:rPr>
                  </w:pPr>
                  <w:r>
                    <w:rPr>
                      <w:rFonts w:hint="eastAsia"/>
                      <w:color w:val="auto"/>
                      <w:szCs w:val="21"/>
                      <w:lang w:val="en-US" w:eastAsia="zh-CN"/>
                    </w:rPr>
                    <w:t>80</w:t>
                  </w:r>
                </w:p>
              </w:tc>
              <w:tc>
                <w:tcPr>
                  <w:tcW w:w="851" w:type="dxa"/>
                  <w:vMerge w:val="continue"/>
                  <w:tcBorders>
                    <w:tl2br w:val="nil"/>
                    <w:tr2bl w:val="nil"/>
                  </w:tcBorders>
                  <w:tcMar>
                    <w:left w:w="28" w:type="dxa"/>
                    <w:right w:w="28" w:type="dxa"/>
                  </w:tcMar>
                  <w:vAlign w:val="center"/>
                </w:tcPr>
                <w:p>
                  <w:pPr>
                    <w:pStyle w:val="45"/>
                    <w:rPr>
                      <w:rFonts w:ascii="Times New Roman" w:hAnsi="Times New Roman"/>
                      <w:color w:val="auto"/>
                      <w:sz w:val="21"/>
                      <w:szCs w:val="21"/>
                    </w:rPr>
                  </w:pPr>
                </w:p>
              </w:tc>
              <w:tc>
                <w:tcPr>
                  <w:tcW w:w="850" w:type="dxa"/>
                  <w:vMerge w:val="continue"/>
                  <w:tcBorders>
                    <w:tl2br w:val="nil"/>
                    <w:tr2bl w:val="nil"/>
                  </w:tcBorders>
                  <w:tcMar>
                    <w:left w:w="28" w:type="dxa"/>
                    <w:right w:w="28" w:type="dxa"/>
                  </w:tcMar>
                  <w:vAlign w:val="center"/>
                </w:tcPr>
                <w:p>
                  <w:pPr>
                    <w:pStyle w:val="45"/>
                    <w:rPr>
                      <w:rFonts w:ascii="Times New Roman" w:hAnsi="Times New Roman"/>
                      <w:color w:val="auto"/>
                      <w:sz w:val="21"/>
                      <w:szCs w:val="21"/>
                    </w:rPr>
                  </w:pPr>
                </w:p>
              </w:tc>
              <w:tc>
                <w:tcPr>
                  <w:tcW w:w="1798" w:type="dxa"/>
                  <w:vMerge w:val="continue"/>
                  <w:tcBorders>
                    <w:tl2br w:val="nil"/>
                    <w:tr2bl w:val="nil"/>
                  </w:tcBorders>
                  <w:tcMar>
                    <w:left w:w="28" w:type="dxa"/>
                    <w:right w:w="28" w:type="dxa"/>
                  </w:tcMar>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425" w:type="dxa"/>
                  <w:vMerge w:val="continue"/>
                  <w:tcBorders>
                    <w:tl2br w:val="nil"/>
                    <w:tr2bl w:val="nil"/>
                  </w:tcBorders>
                  <w:vAlign w:val="center"/>
                </w:tcPr>
                <w:p>
                  <w:pPr>
                    <w:spacing w:line="360" w:lineRule="exact"/>
                    <w:jc w:val="center"/>
                    <w:rPr>
                      <w:color w:val="auto"/>
                      <w:szCs w:val="21"/>
                    </w:rPr>
                  </w:pPr>
                </w:p>
              </w:tc>
              <w:tc>
                <w:tcPr>
                  <w:tcW w:w="709" w:type="dxa"/>
                  <w:vMerge w:val="continue"/>
                  <w:tcBorders>
                    <w:tl2br w:val="nil"/>
                    <w:tr2bl w:val="nil"/>
                  </w:tcBorders>
                  <w:vAlign w:val="center"/>
                </w:tcPr>
                <w:p>
                  <w:pPr>
                    <w:spacing w:line="360" w:lineRule="exact"/>
                    <w:jc w:val="center"/>
                    <w:rPr>
                      <w:color w:val="auto"/>
                      <w:szCs w:val="21"/>
                    </w:rPr>
                  </w:pPr>
                </w:p>
              </w:tc>
              <w:tc>
                <w:tcPr>
                  <w:tcW w:w="959" w:type="dxa"/>
                  <w:gridSpan w:val="2"/>
                  <w:tcBorders>
                    <w:tl2br w:val="nil"/>
                    <w:tr2bl w:val="nil"/>
                  </w:tcBorders>
                  <w:tcMar>
                    <w:left w:w="28" w:type="dxa"/>
                    <w:right w:w="28" w:type="dxa"/>
                  </w:tcMar>
                  <w:vAlign w:val="center"/>
                </w:tcPr>
                <w:p>
                  <w:pPr>
                    <w:snapToGrid w:val="0"/>
                    <w:jc w:val="center"/>
                    <w:rPr>
                      <w:rFonts w:hint="default" w:eastAsia="宋体"/>
                      <w:color w:val="auto"/>
                      <w:szCs w:val="21"/>
                      <w:lang w:val="en-US" w:eastAsia="zh-CN"/>
                    </w:rPr>
                  </w:pPr>
                  <w:r>
                    <w:rPr>
                      <w:rFonts w:hint="eastAsia"/>
                      <w:color w:val="auto"/>
                      <w:szCs w:val="21"/>
                      <w:lang w:val="en-US" w:eastAsia="zh-CN"/>
                    </w:rPr>
                    <w:t>石滚坝</w:t>
                  </w:r>
                </w:p>
              </w:tc>
              <w:tc>
                <w:tcPr>
                  <w:tcW w:w="552" w:type="dxa"/>
                  <w:tcBorders>
                    <w:tl2br w:val="nil"/>
                    <w:tr2bl w:val="nil"/>
                  </w:tcBorders>
                  <w:tcMar>
                    <w:left w:w="28" w:type="dxa"/>
                    <w:right w:w="28" w:type="dxa"/>
                  </w:tcMar>
                  <w:vAlign w:val="center"/>
                </w:tcPr>
                <w:p>
                  <w:pPr>
                    <w:spacing w:line="360" w:lineRule="exact"/>
                    <w:jc w:val="center"/>
                    <w:rPr>
                      <w:color w:val="auto"/>
                      <w:szCs w:val="21"/>
                    </w:rPr>
                  </w:pPr>
                  <w:r>
                    <w:rPr>
                      <w:color w:val="auto"/>
                      <w:szCs w:val="21"/>
                    </w:rPr>
                    <w:t>15</w:t>
                  </w:r>
                </w:p>
              </w:tc>
              <w:tc>
                <w:tcPr>
                  <w:tcW w:w="567" w:type="dxa"/>
                  <w:tcBorders>
                    <w:tl2br w:val="nil"/>
                    <w:tr2bl w:val="nil"/>
                  </w:tcBorders>
                  <w:tcMar>
                    <w:left w:w="28" w:type="dxa"/>
                    <w:right w:w="28" w:type="dxa"/>
                  </w:tcMar>
                  <w:vAlign w:val="center"/>
                </w:tcPr>
                <w:p>
                  <w:pPr>
                    <w:snapToGrid w:val="0"/>
                    <w:jc w:val="center"/>
                    <w:rPr>
                      <w:color w:val="auto"/>
                      <w:szCs w:val="21"/>
                    </w:rPr>
                  </w:pPr>
                  <w:r>
                    <w:rPr>
                      <w:color w:val="auto"/>
                      <w:szCs w:val="21"/>
                    </w:rPr>
                    <w:t>60</w:t>
                  </w:r>
                </w:p>
              </w:tc>
              <w:tc>
                <w:tcPr>
                  <w:tcW w:w="567" w:type="dxa"/>
                  <w:tcBorders>
                    <w:tl2br w:val="nil"/>
                    <w:tr2bl w:val="nil"/>
                  </w:tcBorders>
                  <w:tcMar>
                    <w:left w:w="28" w:type="dxa"/>
                    <w:right w:w="28" w:type="dxa"/>
                  </w:tcMar>
                  <w:vAlign w:val="center"/>
                </w:tcPr>
                <w:p>
                  <w:pPr>
                    <w:snapToGrid w:val="0"/>
                    <w:jc w:val="center"/>
                    <w:rPr>
                      <w:rFonts w:hint="eastAsia" w:eastAsia="宋体"/>
                      <w:color w:val="auto"/>
                      <w:szCs w:val="21"/>
                      <w:lang w:eastAsia="zh-CN"/>
                    </w:rPr>
                  </w:pPr>
                  <w:r>
                    <w:rPr>
                      <w:rFonts w:hint="eastAsia"/>
                      <w:color w:val="auto"/>
                      <w:szCs w:val="21"/>
                      <w:lang w:val="en-US" w:eastAsia="zh-CN"/>
                    </w:rPr>
                    <w:t>W</w:t>
                  </w:r>
                </w:p>
              </w:tc>
              <w:tc>
                <w:tcPr>
                  <w:tcW w:w="850" w:type="dxa"/>
                  <w:tcBorders>
                    <w:tl2br w:val="nil"/>
                    <w:tr2bl w:val="nil"/>
                  </w:tcBorders>
                  <w:tcMar>
                    <w:left w:w="28" w:type="dxa"/>
                    <w:right w:w="28" w:type="dxa"/>
                  </w:tcMar>
                  <w:vAlign w:val="center"/>
                </w:tcPr>
                <w:p>
                  <w:pPr>
                    <w:snapToGrid w:val="0"/>
                    <w:jc w:val="center"/>
                    <w:rPr>
                      <w:color w:val="auto"/>
                      <w:szCs w:val="21"/>
                    </w:rPr>
                  </w:pPr>
                  <w:r>
                    <w:rPr>
                      <w:rFonts w:hint="eastAsia"/>
                      <w:color w:val="auto"/>
                      <w:szCs w:val="21"/>
                      <w:lang w:val="en-US" w:eastAsia="zh-CN"/>
                    </w:rPr>
                    <w:t>5</w:t>
                  </w:r>
                  <w:r>
                    <w:rPr>
                      <w:color w:val="auto"/>
                      <w:szCs w:val="21"/>
                    </w:rPr>
                    <w:t>0</w:t>
                  </w:r>
                </w:p>
              </w:tc>
              <w:tc>
                <w:tcPr>
                  <w:tcW w:w="851" w:type="dxa"/>
                  <w:vMerge w:val="continue"/>
                  <w:tcBorders>
                    <w:tl2br w:val="nil"/>
                    <w:tr2bl w:val="nil"/>
                  </w:tcBorders>
                  <w:tcMar>
                    <w:left w:w="28" w:type="dxa"/>
                    <w:right w:w="28" w:type="dxa"/>
                  </w:tcMar>
                  <w:vAlign w:val="center"/>
                </w:tcPr>
                <w:p>
                  <w:pPr>
                    <w:pStyle w:val="45"/>
                    <w:rPr>
                      <w:rFonts w:ascii="Times New Roman" w:hAnsi="Times New Roman"/>
                      <w:color w:val="auto"/>
                      <w:sz w:val="21"/>
                      <w:szCs w:val="21"/>
                    </w:rPr>
                  </w:pPr>
                </w:p>
              </w:tc>
              <w:tc>
                <w:tcPr>
                  <w:tcW w:w="850" w:type="dxa"/>
                  <w:vMerge w:val="continue"/>
                  <w:tcBorders>
                    <w:tl2br w:val="nil"/>
                    <w:tr2bl w:val="nil"/>
                  </w:tcBorders>
                  <w:tcMar>
                    <w:left w:w="28" w:type="dxa"/>
                    <w:right w:w="28" w:type="dxa"/>
                  </w:tcMar>
                  <w:vAlign w:val="center"/>
                </w:tcPr>
                <w:p>
                  <w:pPr>
                    <w:pStyle w:val="45"/>
                    <w:rPr>
                      <w:rFonts w:ascii="Times New Roman" w:hAnsi="Times New Roman"/>
                      <w:color w:val="auto"/>
                      <w:sz w:val="21"/>
                      <w:szCs w:val="21"/>
                    </w:rPr>
                  </w:pPr>
                </w:p>
              </w:tc>
              <w:tc>
                <w:tcPr>
                  <w:tcW w:w="1798" w:type="dxa"/>
                  <w:vMerge w:val="continue"/>
                  <w:tcBorders>
                    <w:tl2br w:val="nil"/>
                    <w:tr2bl w:val="nil"/>
                  </w:tcBorders>
                  <w:tcMar>
                    <w:left w:w="28" w:type="dxa"/>
                    <w:right w:w="28" w:type="dxa"/>
                  </w:tcMar>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425" w:type="dxa"/>
                  <w:vMerge w:val="continue"/>
                  <w:tcBorders>
                    <w:tl2br w:val="nil"/>
                    <w:tr2bl w:val="nil"/>
                  </w:tcBorders>
                  <w:vAlign w:val="center"/>
                </w:tcPr>
                <w:p>
                  <w:pPr>
                    <w:spacing w:line="360" w:lineRule="exact"/>
                    <w:jc w:val="center"/>
                    <w:rPr>
                      <w:color w:val="auto"/>
                      <w:szCs w:val="21"/>
                    </w:rPr>
                  </w:pPr>
                </w:p>
              </w:tc>
              <w:tc>
                <w:tcPr>
                  <w:tcW w:w="709" w:type="dxa"/>
                  <w:vMerge w:val="continue"/>
                  <w:tcBorders>
                    <w:tl2br w:val="nil"/>
                    <w:tr2bl w:val="nil"/>
                  </w:tcBorders>
                  <w:vAlign w:val="center"/>
                </w:tcPr>
                <w:p>
                  <w:pPr>
                    <w:spacing w:line="360" w:lineRule="exact"/>
                    <w:jc w:val="center"/>
                    <w:rPr>
                      <w:color w:val="auto"/>
                      <w:szCs w:val="21"/>
                    </w:rPr>
                  </w:pPr>
                </w:p>
              </w:tc>
              <w:tc>
                <w:tcPr>
                  <w:tcW w:w="959" w:type="dxa"/>
                  <w:gridSpan w:val="2"/>
                  <w:tcBorders>
                    <w:tl2br w:val="nil"/>
                    <w:tr2bl w:val="nil"/>
                  </w:tcBorders>
                  <w:tcMar>
                    <w:left w:w="28" w:type="dxa"/>
                    <w:right w:w="28" w:type="dxa"/>
                  </w:tcMar>
                  <w:vAlign w:val="center"/>
                </w:tcPr>
                <w:p>
                  <w:pPr>
                    <w:snapToGrid w:val="0"/>
                    <w:jc w:val="center"/>
                    <w:rPr>
                      <w:rFonts w:hint="eastAsia" w:eastAsia="宋体"/>
                      <w:color w:val="auto"/>
                      <w:szCs w:val="21"/>
                      <w:lang w:eastAsia="zh-CN"/>
                    </w:rPr>
                  </w:pPr>
                  <w:r>
                    <w:rPr>
                      <w:rFonts w:hint="eastAsia"/>
                      <w:color w:val="auto"/>
                      <w:szCs w:val="21"/>
                      <w:lang w:val="en-US" w:eastAsia="zh-CN"/>
                    </w:rPr>
                    <w:t>桃园村</w:t>
                  </w:r>
                </w:p>
              </w:tc>
              <w:tc>
                <w:tcPr>
                  <w:tcW w:w="552" w:type="dxa"/>
                  <w:tcBorders>
                    <w:tl2br w:val="nil"/>
                    <w:tr2bl w:val="nil"/>
                  </w:tcBorders>
                  <w:tcMar>
                    <w:left w:w="28" w:type="dxa"/>
                    <w:right w:w="28" w:type="dxa"/>
                  </w:tcMar>
                  <w:vAlign w:val="center"/>
                </w:tcPr>
                <w:p>
                  <w:pPr>
                    <w:spacing w:line="360" w:lineRule="exact"/>
                    <w:jc w:val="center"/>
                    <w:rPr>
                      <w:color w:val="auto"/>
                      <w:szCs w:val="21"/>
                    </w:rPr>
                  </w:pPr>
                  <w:r>
                    <w:rPr>
                      <w:rFonts w:hint="eastAsia"/>
                      <w:color w:val="auto"/>
                      <w:szCs w:val="21"/>
                      <w:lang w:val="en-US" w:eastAsia="zh-CN"/>
                    </w:rPr>
                    <w:t>5</w:t>
                  </w:r>
                </w:p>
              </w:tc>
              <w:tc>
                <w:tcPr>
                  <w:tcW w:w="567" w:type="dxa"/>
                  <w:tcBorders>
                    <w:tl2br w:val="nil"/>
                    <w:tr2bl w:val="nil"/>
                  </w:tcBorders>
                  <w:tcMar>
                    <w:left w:w="28" w:type="dxa"/>
                    <w:right w:w="28" w:type="dxa"/>
                  </w:tcMar>
                  <w:vAlign w:val="center"/>
                </w:tcPr>
                <w:p>
                  <w:pPr>
                    <w:snapToGrid w:val="0"/>
                    <w:jc w:val="center"/>
                    <w:rPr>
                      <w:color w:val="auto"/>
                      <w:szCs w:val="21"/>
                    </w:rPr>
                  </w:pPr>
                  <w:r>
                    <w:rPr>
                      <w:color w:val="auto"/>
                      <w:szCs w:val="21"/>
                    </w:rPr>
                    <w:t>20</w:t>
                  </w:r>
                </w:p>
              </w:tc>
              <w:tc>
                <w:tcPr>
                  <w:tcW w:w="567" w:type="dxa"/>
                  <w:tcBorders>
                    <w:tl2br w:val="nil"/>
                    <w:tr2bl w:val="nil"/>
                  </w:tcBorders>
                  <w:tcMar>
                    <w:left w:w="28" w:type="dxa"/>
                    <w:right w:w="28" w:type="dxa"/>
                  </w:tcMar>
                  <w:vAlign w:val="center"/>
                </w:tcPr>
                <w:p>
                  <w:pPr>
                    <w:snapToGrid w:val="0"/>
                    <w:jc w:val="center"/>
                    <w:rPr>
                      <w:rFonts w:hint="eastAsia" w:eastAsia="宋体"/>
                      <w:color w:val="auto"/>
                      <w:szCs w:val="21"/>
                      <w:lang w:eastAsia="zh-CN"/>
                    </w:rPr>
                  </w:pPr>
                  <w:r>
                    <w:rPr>
                      <w:rFonts w:hint="eastAsia"/>
                      <w:color w:val="auto"/>
                      <w:szCs w:val="21"/>
                      <w:lang w:val="en-US" w:eastAsia="zh-CN"/>
                    </w:rPr>
                    <w:t>W</w:t>
                  </w:r>
                </w:p>
              </w:tc>
              <w:tc>
                <w:tcPr>
                  <w:tcW w:w="850" w:type="dxa"/>
                  <w:tcBorders>
                    <w:tl2br w:val="nil"/>
                    <w:tr2bl w:val="nil"/>
                  </w:tcBorders>
                  <w:tcMar>
                    <w:left w:w="28" w:type="dxa"/>
                    <w:right w:w="28" w:type="dxa"/>
                  </w:tcMar>
                  <w:vAlign w:val="center"/>
                </w:tcPr>
                <w:p>
                  <w:pPr>
                    <w:snapToGrid w:val="0"/>
                    <w:jc w:val="center"/>
                    <w:rPr>
                      <w:rFonts w:hint="default" w:eastAsia="宋体"/>
                      <w:color w:val="auto"/>
                      <w:szCs w:val="21"/>
                      <w:lang w:val="en-US" w:eastAsia="zh-CN"/>
                    </w:rPr>
                  </w:pPr>
                  <w:r>
                    <w:rPr>
                      <w:rFonts w:hint="eastAsia"/>
                      <w:color w:val="auto"/>
                      <w:szCs w:val="21"/>
                      <w:lang w:val="en-US" w:eastAsia="zh-CN"/>
                    </w:rPr>
                    <w:t>20</w:t>
                  </w:r>
                </w:p>
              </w:tc>
              <w:tc>
                <w:tcPr>
                  <w:tcW w:w="851" w:type="dxa"/>
                  <w:vMerge w:val="continue"/>
                  <w:tcBorders>
                    <w:tl2br w:val="nil"/>
                    <w:tr2bl w:val="nil"/>
                  </w:tcBorders>
                  <w:tcMar>
                    <w:left w:w="28" w:type="dxa"/>
                    <w:right w:w="28" w:type="dxa"/>
                  </w:tcMar>
                  <w:vAlign w:val="center"/>
                </w:tcPr>
                <w:p>
                  <w:pPr>
                    <w:pStyle w:val="45"/>
                    <w:rPr>
                      <w:rFonts w:ascii="Times New Roman" w:hAnsi="Times New Roman"/>
                      <w:color w:val="auto"/>
                      <w:sz w:val="21"/>
                      <w:szCs w:val="21"/>
                    </w:rPr>
                  </w:pPr>
                </w:p>
              </w:tc>
              <w:tc>
                <w:tcPr>
                  <w:tcW w:w="850" w:type="dxa"/>
                  <w:vMerge w:val="continue"/>
                  <w:tcBorders>
                    <w:tl2br w:val="nil"/>
                    <w:tr2bl w:val="nil"/>
                  </w:tcBorders>
                  <w:tcMar>
                    <w:left w:w="28" w:type="dxa"/>
                    <w:right w:w="28" w:type="dxa"/>
                  </w:tcMar>
                  <w:vAlign w:val="center"/>
                </w:tcPr>
                <w:p>
                  <w:pPr>
                    <w:pStyle w:val="45"/>
                    <w:rPr>
                      <w:rFonts w:ascii="Times New Roman" w:hAnsi="Times New Roman"/>
                      <w:color w:val="auto"/>
                      <w:sz w:val="21"/>
                      <w:szCs w:val="21"/>
                    </w:rPr>
                  </w:pPr>
                </w:p>
              </w:tc>
              <w:tc>
                <w:tcPr>
                  <w:tcW w:w="1798" w:type="dxa"/>
                  <w:vMerge w:val="continue"/>
                  <w:tcBorders>
                    <w:tl2br w:val="nil"/>
                    <w:tr2bl w:val="nil"/>
                  </w:tcBorders>
                  <w:tcMar>
                    <w:left w:w="28" w:type="dxa"/>
                    <w:right w:w="28" w:type="dxa"/>
                  </w:tcMar>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425" w:type="dxa"/>
                  <w:vMerge w:val="continue"/>
                  <w:tcBorders>
                    <w:tl2br w:val="nil"/>
                    <w:tr2bl w:val="nil"/>
                  </w:tcBorders>
                  <w:vAlign w:val="center"/>
                </w:tcPr>
                <w:p>
                  <w:pPr>
                    <w:spacing w:line="360" w:lineRule="exact"/>
                    <w:jc w:val="center"/>
                    <w:rPr>
                      <w:color w:val="auto"/>
                      <w:szCs w:val="21"/>
                    </w:rPr>
                  </w:pPr>
                </w:p>
              </w:tc>
              <w:tc>
                <w:tcPr>
                  <w:tcW w:w="709" w:type="dxa"/>
                  <w:vMerge w:val="continue"/>
                  <w:tcBorders>
                    <w:tl2br w:val="nil"/>
                    <w:tr2bl w:val="nil"/>
                  </w:tcBorders>
                  <w:vAlign w:val="center"/>
                </w:tcPr>
                <w:p>
                  <w:pPr>
                    <w:spacing w:line="360" w:lineRule="exact"/>
                    <w:jc w:val="center"/>
                    <w:rPr>
                      <w:color w:val="auto"/>
                      <w:szCs w:val="21"/>
                    </w:rPr>
                  </w:pPr>
                </w:p>
              </w:tc>
              <w:tc>
                <w:tcPr>
                  <w:tcW w:w="959" w:type="dxa"/>
                  <w:gridSpan w:val="2"/>
                  <w:tcBorders>
                    <w:tl2br w:val="nil"/>
                    <w:tr2bl w:val="nil"/>
                  </w:tcBorders>
                  <w:tcMar>
                    <w:left w:w="28" w:type="dxa"/>
                    <w:right w:w="28" w:type="dxa"/>
                  </w:tcMar>
                  <w:vAlign w:val="center"/>
                </w:tcPr>
                <w:p>
                  <w:pPr>
                    <w:snapToGrid w:val="0"/>
                    <w:jc w:val="center"/>
                    <w:rPr>
                      <w:rFonts w:hint="default" w:eastAsia="宋体"/>
                      <w:color w:val="auto"/>
                      <w:szCs w:val="21"/>
                      <w:lang w:val="en-US" w:eastAsia="zh-CN"/>
                    </w:rPr>
                  </w:pPr>
                  <w:r>
                    <w:rPr>
                      <w:rFonts w:hint="eastAsia"/>
                      <w:color w:val="auto"/>
                      <w:szCs w:val="21"/>
                      <w:lang w:val="en-US" w:eastAsia="zh-CN"/>
                    </w:rPr>
                    <w:t>西河村一组</w:t>
                  </w:r>
                </w:p>
              </w:tc>
              <w:tc>
                <w:tcPr>
                  <w:tcW w:w="552" w:type="dxa"/>
                  <w:tcBorders>
                    <w:tl2br w:val="nil"/>
                    <w:tr2bl w:val="nil"/>
                  </w:tcBorders>
                  <w:tcMar>
                    <w:left w:w="28" w:type="dxa"/>
                    <w:right w:w="28" w:type="dxa"/>
                  </w:tcMar>
                  <w:vAlign w:val="center"/>
                </w:tcPr>
                <w:p>
                  <w:pPr>
                    <w:spacing w:line="360" w:lineRule="exact"/>
                    <w:jc w:val="center"/>
                    <w:rPr>
                      <w:color w:val="auto"/>
                      <w:szCs w:val="21"/>
                    </w:rPr>
                  </w:pPr>
                  <w:r>
                    <w:rPr>
                      <w:color w:val="auto"/>
                      <w:szCs w:val="21"/>
                    </w:rPr>
                    <w:t>35</w:t>
                  </w:r>
                </w:p>
              </w:tc>
              <w:tc>
                <w:tcPr>
                  <w:tcW w:w="567" w:type="dxa"/>
                  <w:tcBorders>
                    <w:tl2br w:val="nil"/>
                    <w:tr2bl w:val="nil"/>
                  </w:tcBorders>
                  <w:tcMar>
                    <w:left w:w="28" w:type="dxa"/>
                    <w:right w:w="28" w:type="dxa"/>
                  </w:tcMar>
                  <w:vAlign w:val="center"/>
                </w:tcPr>
                <w:p>
                  <w:pPr>
                    <w:snapToGrid w:val="0"/>
                    <w:jc w:val="center"/>
                    <w:rPr>
                      <w:color w:val="auto"/>
                      <w:szCs w:val="21"/>
                    </w:rPr>
                  </w:pPr>
                  <w:r>
                    <w:rPr>
                      <w:color w:val="auto"/>
                      <w:szCs w:val="21"/>
                    </w:rPr>
                    <w:t>140</w:t>
                  </w:r>
                </w:p>
              </w:tc>
              <w:tc>
                <w:tcPr>
                  <w:tcW w:w="567" w:type="dxa"/>
                  <w:tcBorders>
                    <w:tl2br w:val="nil"/>
                    <w:tr2bl w:val="nil"/>
                  </w:tcBorders>
                  <w:tcMar>
                    <w:left w:w="28" w:type="dxa"/>
                    <w:right w:w="28" w:type="dxa"/>
                  </w:tcMar>
                  <w:vAlign w:val="center"/>
                </w:tcPr>
                <w:p>
                  <w:pPr>
                    <w:snapToGrid w:val="0"/>
                    <w:jc w:val="center"/>
                    <w:rPr>
                      <w:color w:val="auto"/>
                      <w:szCs w:val="21"/>
                    </w:rPr>
                  </w:pPr>
                  <w:r>
                    <w:rPr>
                      <w:color w:val="auto"/>
                      <w:szCs w:val="21"/>
                    </w:rPr>
                    <w:t>N</w:t>
                  </w:r>
                </w:p>
              </w:tc>
              <w:tc>
                <w:tcPr>
                  <w:tcW w:w="850" w:type="dxa"/>
                  <w:tcBorders>
                    <w:tl2br w:val="nil"/>
                    <w:tr2bl w:val="nil"/>
                  </w:tcBorders>
                  <w:tcMar>
                    <w:left w:w="28" w:type="dxa"/>
                    <w:right w:w="28" w:type="dxa"/>
                  </w:tcMar>
                  <w:vAlign w:val="center"/>
                </w:tcPr>
                <w:p>
                  <w:pPr>
                    <w:snapToGrid w:val="0"/>
                    <w:jc w:val="center"/>
                    <w:rPr>
                      <w:rFonts w:hint="default" w:eastAsia="宋体"/>
                      <w:color w:val="auto"/>
                      <w:szCs w:val="21"/>
                      <w:lang w:val="en-US" w:eastAsia="zh-CN"/>
                    </w:rPr>
                  </w:pPr>
                  <w:r>
                    <w:rPr>
                      <w:rFonts w:hint="eastAsia"/>
                      <w:color w:val="auto"/>
                      <w:szCs w:val="21"/>
                      <w:lang w:val="en-US" w:eastAsia="zh-CN"/>
                    </w:rPr>
                    <w:t>80</w:t>
                  </w:r>
                </w:p>
              </w:tc>
              <w:tc>
                <w:tcPr>
                  <w:tcW w:w="851" w:type="dxa"/>
                  <w:vMerge w:val="continue"/>
                  <w:tcBorders>
                    <w:tl2br w:val="nil"/>
                    <w:tr2bl w:val="nil"/>
                  </w:tcBorders>
                  <w:tcMar>
                    <w:left w:w="28" w:type="dxa"/>
                    <w:right w:w="28" w:type="dxa"/>
                  </w:tcMar>
                  <w:vAlign w:val="center"/>
                </w:tcPr>
                <w:p>
                  <w:pPr>
                    <w:pStyle w:val="45"/>
                    <w:rPr>
                      <w:rFonts w:ascii="Times New Roman" w:hAnsi="Times New Roman"/>
                      <w:color w:val="auto"/>
                      <w:sz w:val="21"/>
                      <w:szCs w:val="21"/>
                    </w:rPr>
                  </w:pPr>
                </w:p>
              </w:tc>
              <w:tc>
                <w:tcPr>
                  <w:tcW w:w="850" w:type="dxa"/>
                  <w:vMerge w:val="continue"/>
                  <w:tcBorders>
                    <w:tl2br w:val="nil"/>
                    <w:tr2bl w:val="nil"/>
                  </w:tcBorders>
                  <w:tcMar>
                    <w:left w:w="28" w:type="dxa"/>
                    <w:right w:w="28" w:type="dxa"/>
                  </w:tcMar>
                  <w:vAlign w:val="center"/>
                </w:tcPr>
                <w:p>
                  <w:pPr>
                    <w:pStyle w:val="45"/>
                    <w:rPr>
                      <w:rFonts w:ascii="Times New Roman" w:hAnsi="Times New Roman"/>
                      <w:color w:val="auto"/>
                      <w:sz w:val="21"/>
                      <w:szCs w:val="21"/>
                    </w:rPr>
                  </w:pPr>
                </w:p>
              </w:tc>
              <w:tc>
                <w:tcPr>
                  <w:tcW w:w="1798" w:type="dxa"/>
                  <w:vMerge w:val="continue"/>
                  <w:tcBorders>
                    <w:tl2br w:val="nil"/>
                    <w:tr2bl w:val="nil"/>
                  </w:tcBorders>
                  <w:tcMar>
                    <w:left w:w="28" w:type="dxa"/>
                    <w:right w:w="28" w:type="dxa"/>
                  </w:tcMar>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425" w:type="dxa"/>
                  <w:vMerge w:val="continue"/>
                  <w:tcBorders>
                    <w:tl2br w:val="nil"/>
                    <w:tr2bl w:val="nil"/>
                  </w:tcBorders>
                  <w:vAlign w:val="center"/>
                </w:tcPr>
                <w:p>
                  <w:pPr>
                    <w:spacing w:line="360" w:lineRule="exact"/>
                    <w:jc w:val="center"/>
                    <w:rPr>
                      <w:color w:val="auto"/>
                      <w:szCs w:val="21"/>
                    </w:rPr>
                  </w:pPr>
                </w:p>
              </w:tc>
              <w:tc>
                <w:tcPr>
                  <w:tcW w:w="709" w:type="dxa"/>
                  <w:vMerge w:val="continue"/>
                  <w:tcBorders>
                    <w:tl2br w:val="nil"/>
                    <w:tr2bl w:val="nil"/>
                  </w:tcBorders>
                  <w:vAlign w:val="center"/>
                </w:tcPr>
                <w:p>
                  <w:pPr>
                    <w:spacing w:line="360" w:lineRule="exact"/>
                    <w:jc w:val="center"/>
                    <w:rPr>
                      <w:color w:val="auto"/>
                      <w:szCs w:val="21"/>
                    </w:rPr>
                  </w:pPr>
                </w:p>
              </w:tc>
              <w:tc>
                <w:tcPr>
                  <w:tcW w:w="959" w:type="dxa"/>
                  <w:gridSpan w:val="2"/>
                  <w:tcBorders>
                    <w:tl2br w:val="nil"/>
                    <w:tr2bl w:val="nil"/>
                  </w:tcBorders>
                  <w:tcMar>
                    <w:left w:w="28" w:type="dxa"/>
                    <w:right w:w="28" w:type="dxa"/>
                  </w:tcMar>
                  <w:vAlign w:val="center"/>
                </w:tcPr>
                <w:p>
                  <w:pPr>
                    <w:snapToGrid w:val="0"/>
                    <w:jc w:val="center"/>
                    <w:rPr>
                      <w:rFonts w:hint="eastAsia" w:eastAsia="宋体"/>
                      <w:color w:val="auto"/>
                      <w:szCs w:val="21"/>
                      <w:lang w:eastAsia="zh-CN"/>
                    </w:rPr>
                  </w:pPr>
                  <w:r>
                    <w:rPr>
                      <w:rFonts w:hint="eastAsia"/>
                      <w:color w:val="auto"/>
                      <w:szCs w:val="21"/>
                      <w:lang w:val="en-US" w:eastAsia="zh-CN"/>
                    </w:rPr>
                    <w:t>新生村</w:t>
                  </w:r>
                </w:p>
              </w:tc>
              <w:tc>
                <w:tcPr>
                  <w:tcW w:w="552" w:type="dxa"/>
                  <w:tcBorders>
                    <w:tl2br w:val="nil"/>
                    <w:tr2bl w:val="nil"/>
                  </w:tcBorders>
                  <w:tcMar>
                    <w:left w:w="28" w:type="dxa"/>
                    <w:right w:w="28" w:type="dxa"/>
                  </w:tcMar>
                  <w:vAlign w:val="center"/>
                </w:tcPr>
                <w:p>
                  <w:pPr>
                    <w:spacing w:line="360" w:lineRule="exact"/>
                    <w:jc w:val="center"/>
                    <w:rPr>
                      <w:rFonts w:hint="default" w:eastAsia="宋体"/>
                      <w:color w:val="auto"/>
                      <w:szCs w:val="21"/>
                      <w:lang w:val="en-US" w:eastAsia="zh-CN"/>
                    </w:rPr>
                  </w:pPr>
                  <w:r>
                    <w:rPr>
                      <w:rFonts w:hint="eastAsia"/>
                      <w:color w:val="auto"/>
                      <w:szCs w:val="21"/>
                      <w:lang w:val="en-US" w:eastAsia="zh-CN"/>
                    </w:rPr>
                    <w:t>10</w:t>
                  </w:r>
                </w:p>
              </w:tc>
              <w:tc>
                <w:tcPr>
                  <w:tcW w:w="567" w:type="dxa"/>
                  <w:tcBorders>
                    <w:tl2br w:val="nil"/>
                    <w:tr2bl w:val="nil"/>
                  </w:tcBorders>
                  <w:tcMar>
                    <w:left w:w="28" w:type="dxa"/>
                    <w:right w:w="28" w:type="dxa"/>
                  </w:tcMar>
                  <w:vAlign w:val="center"/>
                </w:tcPr>
                <w:p>
                  <w:pPr>
                    <w:snapToGrid w:val="0"/>
                    <w:jc w:val="center"/>
                    <w:rPr>
                      <w:color w:val="auto"/>
                      <w:szCs w:val="21"/>
                    </w:rPr>
                  </w:pPr>
                  <w:r>
                    <w:rPr>
                      <w:rFonts w:hint="eastAsia"/>
                      <w:color w:val="auto"/>
                      <w:szCs w:val="21"/>
                      <w:lang w:val="en-US" w:eastAsia="zh-CN"/>
                    </w:rPr>
                    <w:t>4</w:t>
                  </w:r>
                  <w:r>
                    <w:rPr>
                      <w:color w:val="auto"/>
                      <w:szCs w:val="21"/>
                    </w:rPr>
                    <w:t>0</w:t>
                  </w:r>
                </w:p>
              </w:tc>
              <w:tc>
                <w:tcPr>
                  <w:tcW w:w="567" w:type="dxa"/>
                  <w:tcBorders>
                    <w:tl2br w:val="nil"/>
                    <w:tr2bl w:val="nil"/>
                  </w:tcBorders>
                  <w:tcMar>
                    <w:left w:w="28" w:type="dxa"/>
                    <w:right w:w="28" w:type="dxa"/>
                  </w:tcMar>
                  <w:vAlign w:val="center"/>
                </w:tcPr>
                <w:p>
                  <w:pPr>
                    <w:snapToGrid w:val="0"/>
                    <w:jc w:val="center"/>
                    <w:rPr>
                      <w:color w:val="auto"/>
                      <w:szCs w:val="21"/>
                    </w:rPr>
                  </w:pPr>
                  <w:r>
                    <w:rPr>
                      <w:color w:val="auto"/>
                      <w:szCs w:val="21"/>
                    </w:rPr>
                    <w:t>S/N</w:t>
                  </w:r>
                </w:p>
              </w:tc>
              <w:tc>
                <w:tcPr>
                  <w:tcW w:w="850" w:type="dxa"/>
                  <w:tcBorders>
                    <w:tl2br w:val="nil"/>
                    <w:tr2bl w:val="nil"/>
                  </w:tcBorders>
                  <w:tcMar>
                    <w:left w:w="28" w:type="dxa"/>
                    <w:right w:w="28" w:type="dxa"/>
                  </w:tcMar>
                  <w:vAlign w:val="center"/>
                </w:tcPr>
                <w:p>
                  <w:pPr>
                    <w:snapToGrid w:val="0"/>
                    <w:jc w:val="center"/>
                    <w:rPr>
                      <w:rFonts w:hint="eastAsia" w:eastAsia="宋体"/>
                      <w:color w:val="auto"/>
                      <w:szCs w:val="21"/>
                      <w:lang w:val="en-US" w:eastAsia="zh-CN"/>
                    </w:rPr>
                  </w:pPr>
                  <w:r>
                    <w:rPr>
                      <w:color w:val="auto"/>
                      <w:szCs w:val="21"/>
                    </w:rPr>
                    <w:t>2</w:t>
                  </w:r>
                  <w:r>
                    <w:rPr>
                      <w:rFonts w:hint="eastAsia"/>
                      <w:color w:val="auto"/>
                      <w:szCs w:val="21"/>
                      <w:lang w:val="en-US" w:eastAsia="zh-CN"/>
                    </w:rPr>
                    <w:t>5</w:t>
                  </w:r>
                </w:p>
              </w:tc>
              <w:tc>
                <w:tcPr>
                  <w:tcW w:w="851" w:type="dxa"/>
                  <w:vMerge w:val="continue"/>
                  <w:tcBorders>
                    <w:tl2br w:val="nil"/>
                    <w:tr2bl w:val="nil"/>
                  </w:tcBorders>
                  <w:tcMar>
                    <w:left w:w="28" w:type="dxa"/>
                    <w:right w:w="28" w:type="dxa"/>
                  </w:tcMar>
                  <w:vAlign w:val="center"/>
                </w:tcPr>
                <w:p>
                  <w:pPr>
                    <w:pStyle w:val="45"/>
                    <w:rPr>
                      <w:rFonts w:ascii="Times New Roman" w:hAnsi="Times New Roman"/>
                      <w:color w:val="auto"/>
                      <w:sz w:val="21"/>
                      <w:szCs w:val="21"/>
                    </w:rPr>
                  </w:pPr>
                </w:p>
              </w:tc>
              <w:tc>
                <w:tcPr>
                  <w:tcW w:w="850" w:type="dxa"/>
                  <w:vMerge w:val="continue"/>
                  <w:tcBorders>
                    <w:tl2br w:val="nil"/>
                    <w:tr2bl w:val="nil"/>
                  </w:tcBorders>
                  <w:tcMar>
                    <w:left w:w="28" w:type="dxa"/>
                    <w:right w:w="28" w:type="dxa"/>
                  </w:tcMar>
                  <w:vAlign w:val="center"/>
                </w:tcPr>
                <w:p>
                  <w:pPr>
                    <w:pStyle w:val="45"/>
                    <w:rPr>
                      <w:rFonts w:ascii="Times New Roman" w:hAnsi="Times New Roman"/>
                      <w:color w:val="auto"/>
                      <w:sz w:val="21"/>
                      <w:szCs w:val="21"/>
                    </w:rPr>
                  </w:pPr>
                </w:p>
              </w:tc>
              <w:tc>
                <w:tcPr>
                  <w:tcW w:w="1798" w:type="dxa"/>
                  <w:vMerge w:val="continue"/>
                  <w:tcBorders>
                    <w:tl2br w:val="nil"/>
                    <w:tr2bl w:val="nil"/>
                  </w:tcBorders>
                  <w:tcMar>
                    <w:left w:w="28" w:type="dxa"/>
                    <w:right w:w="28" w:type="dxa"/>
                  </w:tcMar>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5" w:type="dxa"/>
                  <w:tcBorders>
                    <w:tl2br w:val="nil"/>
                    <w:tr2bl w:val="nil"/>
                  </w:tcBorders>
                  <w:vAlign w:val="center"/>
                </w:tcPr>
                <w:p>
                  <w:pPr>
                    <w:spacing w:line="360" w:lineRule="exact"/>
                    <w:jc w:val="center"/>
                    <w:rPr>
                      <w:color w:val="auto"/>
                      <w:szCs w:val="21"/>
                    </w:rPr>
                  </w:pPr>
                  <w:r>
                    <w:rPr>
                      <w:color w:val="auto"/>
                      <w:szCs w:val="21"/>
                    </w:rPr>
                    <w:t>2</w:t>
                  </w:r>
                </w:p>
              </w:tc>
              <w:tc>
                <w:tcPr>
                  <w:tcW w:w="709" w:type="dxa"/>
                  <w:tcBorders>
                    <w:tl2br w:val="nil"/>
                    <w:tr2bl w:val="nil"/>
                  </w:tcBorders>
                  <w:vAlign w:val="center"/>
                </w:tcPr>
                <w:p>
                  <w:pPr>
                    <w:spacing w:line="360" w:lineRule="exact"/>
                    <w:jc w:val="center"/>
                    <w:rPr>
                      <w:color w:val="auto"/>
                      <w:szCs w:val="21"/>
                    </w:rPr>
                  </w:pPr>
                  <w:r>
                    <w:rPr>
                      <w:color w:val="auto"/>
                      <w:szCs w:val="21"/>
                    </w:rPr>
                    <w:t>地表水</w:t>
                  </w:r>
                </w:p>
              </w:tc>
              <w:tc>
                <w:tcPr>
                  <w:tcW w:w="2078" w:type="dxa"/>
                  <w:gridSpan w:val="4"/>
                  <w:tcBorders>
                    <w:tl2br w:val="nil"/>
                    <w:tr2bl w:val="nil"/>
                  </w:tcBorders>
                  <w:tcMar>
                    <w:left w:w="28" w:type="dxa"/>
                    <w:right w:w="28" w:type="dxa"/>
                  </w:tcMar>
                  <w:vAlign w:val="center"/>
                </w:tcPr>
                <w:p>
                  <w:pPr>
                    <w:snapToGrid w:val="0"/>
                    <w:jc w:val="center"/>
                    <w:rPr>
                      <w:rFonts w:hint="eastAsia" w:eastAsia="宋体"/>
                      <w:color w:val="auto"/>
                      <w:szCs w:val="21"/>
                      <w:lang w:eastAsia="zh-CN"/>
                    </w:rPr>
                  </w:pPr>
                  <w:r>
                    <w:rPr>
                      <w:rFonts w:hint="eastAsia"/>
                      <w:color w:val="auto"/>
                      <w:szCs w:val="21"/>
                      <w:lang w:val="en-US" w:eastAsia="zh-CN"/>
                    </w:rPr>
                    <w:t>大盘河、</w:t>
                  </w:r>
                  <w:r>
                    <w:rPr>
                      <w:rFonts w:hint="eastAsia"/>
                      <w:color w:val="auto"/>
                      <w:szCs w:val="21"/>
                      <w:lang w:eastAsia="zh-CN"/>
                    </w:rPr>
                    <w:t>岚河及其支流</w:t>
                  </w:r>
                </w:p>
              </w:tc>
              <w:tc>
                <w:tcPr>
                  <w:tcW w:w="1417" w:type="dxa"/>
                  <w:gridSpan w:val="2"/>
                  <w:tcBorders>
                    <w:tl2br w:val="nil"/>
                    <w:tr2bl w:val="nil"/>
                  </w:tcBorders>
                  <w:tcMar>
                    <w:left w:w="28" w:type="dxa"/>
                    <w:right w:w="28" w:type="dxa"/>
                  </w:tcMar>
                  <w:vAlign w:val="center"/>
                </w:tcPr>
                <w:p>
                  <w:pPr>
                    <w:snapToGrid w:val="0"/>
                    <w:jc w:val="center"/>
                    <w:rPr>
                      <w:color w:val="auto"/>
                      <w:szCs w:val="21"/>
                    </w:rPr>
                  </w:pPr>
                  <w:r>
                    <w:rPr>
                      <w:color w:val="auto"/>
                      <w:szCs w:val="21"/>
                    </w:rPr>
                    <w:t>沿线</w:t>
                  </w:r>
                </w:p>
              </w:tc>
              <w:tc>
                <w:tcPr>
                  <w:tcW w:w="851" w:type="dxa"/>
                  <w:tcBorders>
                    <w:tl2br w:val="nil"/>
                    <w:tr2bl w:val="nil"/>
                  </w:tcBorders>
                  <w:tcMar>
                    <w:left w:w="28" w:type="dxa"/>
                    <w:right w:w="28" w:type="dxa"/>
                  </w:tcMar>
                  <w:vAlign w:val="center"/>
                </w:tcPr>
                <w:p>
                  <w:pPr>
                    <w:spacing w:line="360" w:lineRule="exact"/>
                    <w:jc w:val="center"/>
                    <w:rPr>
                      <w:color w:val="auto"/>
                      <w:szCs w:val="21"/>
                    </w:rPr>
                  </w:pPr>
                  <w:r>
                    <w:rPr>
                      <w:color w:val="auto"/>
                      <w:szCs w:val="21"/>
                    </w:rPr>
                    <w:t>地表水</w:t>
                  </w:r>
                </w:p>
              </w:tc>
              <w:tc>
                <w:tcPr>
                  <w:tcW w:w="850" w:type="dxa"/>
                  <w:tcBorders>
                    <w:tl2br w:val="nil"/>
                    <w:tr2bl w:val="nil"/>
                  </w:tcBorders>
                  <w:tcMar>
                    <w:left w:w="28" w:type="dxa"/>
                    <w:right w:w="28" w:type="dxa"/>
                  </w:tcMar>
                  <w:vAlign w:val="center"/>
                </w:tcPr>
                <w:p>
                  <w:pPr>
                    <w:spacing w:line="360" w:lineRule="exact"/>
                    <w:jc w:val="center"/>
                    <w:rPr>
                      <w:color w:val="auto"/>
                      <w:szCs w:val="21"/>
                    </w:rPr>
                  </w:pPr>
                  <w:r>
                    <w:rPr>
                      <w:rFonts w:hint="eastAsia" w:ascii="宋体" w:hAnsi="宋体" w:eastAsia="宋体" w:cs="宋体"/>
                      <w:color w:val="auto"/>
                      <w:szCs w:val="21"/>
                    </w:rPr>
                    <w:t>Ⅱ</w:t>
                  </w:r>
                  <w:r>
                    <w:rPr>
                      <w:color w:val="auto"/>
                      <w:szCs w:val="21"/>
                    </w:rPr>
                    <w:t>类</w:t>
                  </w:r>
                </w:p>
              </w:tc>
              <w:tc>
                <w:tcPr>
                  <w:tcW w:w="1798" w:type="dxa"/>
                  <w:tcBorders>
                    <w:tl2br w:val="nil"/>
                    <w:tr2bl w:val="nil"/>
                  </w:tcBorders>
                  <w:tcMar>
                    <w:left w:w="28" w:type="dxa"/>
                    <w:right w:w="28" w:type="dxa"/>
                  </w:tcMar>
                  <w:vAlign w:val="center"/>
                </w:tcPr>
                <w:p>
                  <w:pPr>
                    <w:spacing w:line="360" w:lineRule="exact"/>
                    <w:jc w:val="center"/>
                    <w:rPr>
                      <w:color w:val="auto"/>
                      <w:szCs w:val="21"/>
                    </w:rPr>
                  </w:pPr>
                  <w:r>
                    <w:rPr>
                      <w:color w:val="auto"/>
                      <w:szCs w:val="21"/>
                    </w:rPr>
                    <w:t>《地表水环境质量标准》（GB3838-2002）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right"/>
              </w:trPr>
              <w:tc>
                <w:tcPr>
                  <w:tcW w:w="425" w:type="dxa"/>
                  <w:vMerge w:val="restart"/>
                  <w:tcBorders>
                    <w:tl2br w:val="nil"/>
                    <w:tr2bl w:val="nil"/>
                  </w:tcBorders>
                  <w:vAlign w:val="center"/>
                </w:tcPr>
                <w:p>
                  <w:pPr>
                    <w:spacing w:line="360" w:lineRule="exact"/>
                    <w:jc w:val="center"/>
                    <w:rPr>
                      <w:color w:val="auto"/>
                      <w:szCs w:val="21"/>
                    </w:rPr>
                  </w:pPr>
                  <w:r>
                    <w:rPr>
                      <w:color w:val="auto"/>
                      <w:szCs w:val="21"/>
                    </w:rPr>
                    <w:t>3</w:t>
                  </w:r>
                </w:p>
              </w:tc>
              <w:tc>
                <w:tcPr>
                  <w:tcW w:w="709" w:type="dxa"/>
                  <w:vMerge w:val="restart"/>
                  <w:tcBorders>
                    <w:tl2br w:val="nil"/>
                    <w:tr2bl w:val="nil"/>
                  </w:tcBorders>
                  <w:vAlign w:val="center"/>
                </w:tcPr>
                <w:p>
                  <w:pPr>
                    <w:spacing w:line="360" w:lineRule="exact"/>
                    <w:jc w:val="center"/>
                    <w:rPr>
                      <w:color w:val="auto"/>
                      <w:szCs w:val="21"/>
                    </w:rPr>
                  </w:pPr>
                  <w:r>
                    <w:rPr>
                      <w:color w:val="auto"/>
                      <w:szCs w:val="21"/>
                    </w:rPr>
                    <w:t>声环境</w:t>
                  </w:r>
                </w:p>
              </w:tc>
              <w:tc>
                <w:tcPr>
                  <w:tcW w:w="947" w:type="dxa"/>
                  <w:tcBorders>
                    <w:tl2br w:val="nil"/>
                    <w:tr2bl w:val="nil"/>
                  </w:tcBorders>
                  <w:tcMar>
                    <w:left w:w="28" w:type="dxa"/>
                    <w:right w:w="28" w:type="dxa"/>
                  </w:tcMar>
                  <w:vAlign w:val="center"/>
                </w:tcPr>
                <w:p>
                  <w:pPr>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九台村</w:t>
                  </w:r>
                </w:p>
              </w:tc>
              <w:tc>
                <w:tcPr>
                  <w:tcW w:w="564" w:type="dxa"/>
                  <w:gridSpan w:val="2"/>
                  <w:tcBorders>
                    <w:tl2br w:val="nil"/>
                    <w:tr2bl w:val="nil"/>
                  </w:tcBorders>
                  <w:tcMar>
                    <w:left w:w="28" w:type="dxa"/>
                    <w:right w:w="28" w:type="dxa"/>
                  </w:tcMar>
                  <w:vAlign w:val="center"/>
                </w:tcPr>
                <w:p>
                  <w:pPr>
                    <w:spacing w:line="36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40</w:t>
                  </w:r>
                </w:p>
              </w:tc>
              <w:tc>
                <w:tcPr>
                  <w:tcW w:w="567" w:type="dxa"/>
                  <w:tcBorders>
                    <w:tl2br w:val="nil"/>
                    <w:tr2bl w:val="nil"/>
                  </w:tcBorders>
                  <w:tcMar>
                    <w:left w:w="28" w:type="dxa"/>
                    <w:right w:w="28" w:type="dxa"/>
                  </w:tcMar>
                  <w:vAlign w:val="center"/>
                </w:tcPr>
                <w:p>
                  <w:pPr>
                    <w:snapToGrid w:val="0"/>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16</w:t>
                  </w:r>
                  <w:r>
                    <w:rPr>
                      <w:color w:val="auto"/>
                      <w:szCs w:val="21"/>
                    </w:rPr>
                    <w:t xml:space="preserve">0 </w:t>
                  </w:r>
                </w:p>
              </w:tc>
              <w:tc>
                <w:tcPr>
                  <w:tcW w:w="567" w:type="dxa"/>
                  <w:tcBorders>
                    <w:tl2br w:val="nil"/>
                    <w:tr2bl w:val="nil"/>
                  </w:tcBorders>
                  <w:tcMar>
                    <w:left w:w="28" w:type="dxa"/>
                    <w:right w:w="28" w:type="dxa"/>
                  </w:tcMar>
                  <w:vAlign w:val="center"/>
                </w:tcPr>
                <w:p>
                  <w:pPr>
                    <w:snapToGrid w:val="0"/>
                    <w:jc w:val="center"/>
                    <w:rPr>
                      <w:rFonts w:ascii="Times New Roman" w:hAnsi="Times New Roman" w:eastAsia="宋体" w:cs="Times New Roman"/>
                      <w:color w:val="auto"/>
                      <w:kern w:val="2"/>
                      <w:sz w:val="21"/>
                      <w:szCs w:val="21"/>
                      <w:lang w:val="en-US" w:eastAsia="zh-CN" w:bidi="ar-SA"/>
                    </w:rPr>
                  </w:pPr>
                  <w:r>
                    <w:rPr>
                      <w:color w:val="auto"/>
                      <w:szCs w:val="21"/>
                    </w:rPr>
                    <w:t>S</w:t>
                  </w:r>
                </w:p>
              </w:tc>
              <w:tc>
                <w:tcPr>
                  <w:tcW w:w="850" w:type="dxa"/>
                  <w:tcBorders>
                    <w:tl2br w:val="nil"/>
                    <w:tr2bl w:val="nil"/>
                  </w:tcBorders>
                  <w:tcMar>
                    <w:left w:w="28" w:type="dxa"/>
                    <w:right w:w="28" w:type="dxa"/>
                  </w:tcMar>
                  <w:vAlign w:val="center"/>
                </w:tcPr>
                <w:p>
                  <w:pPr>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20</w:t>
                  </w:r>
                </w:p>
              </w:tc>
              <w:tc>
                <w:tcPr>
                  <w:tcW w:w="851" w:type="dxa"/>
                  <w:vMerge w:val="restart"/>
                  <w:tcBorders>
                    <w:tl2br w:val="nil"/>
                    <w:tr2bl w:val="nil"/>
                  </w:tcBorders>
                  <w:tcMar>
                    <w:left w:w="28" w:type="dxa"/>
                    <w:right w:w="28" w:type="dxa"/>
                  </w:tcMar>
                  <w:vAlign w:val="center"/>
                </w:tcPr>
                <w:p>
                  <w:pPr>
                    <w:pStyle w:val="45"/>
                    <w:rPr>
                      <w:rFonts w:ascii="Times New Roman" w:hAnsi="Times New Roman"/>
                      <w:color w:val="auto"/>
                      <w:sz w:val="21"/>
                      <w:szCs w:val="21"/>
                    </w:rPr>
                  </w:pPr>
                  <w:r>
                    <w:rPr>
                      <w:rFonts w:ascii="Times New Roman" w:hAnsi="Times New Roman"/>
                      <w:color w:val="auto"/>
                      <w:kern w:val="0"/>
                      <w:sz w:val="21"/>
                      <w:szCs w:val="21"/>
                      <w:lang w:eastAsia="en-US"/>
                    </w:rPr>
                    <w:t>声环境</w:t>
                  </w:r>
                </w:p>
              </w:tc>
              <w:tc>
                <w:tcPr>
                  <w:tcW w:w="850" w:type="dxa"/>
                  <w:vMerge w:val="restart"/>
                  <w:tcBorders>
                    <w:tl2br w:val="nil"/>
                    <w:tr2bl w:val="nil"/>
                  </w:tcBorders>
                  <w:tcMar>
                    <w:left w:w="28" w:type="dxa"/>
                    <w:right w:w="28" w:type="dxa"/>
                  </w:tcMar>
                  <w:vAlign w:val="center"/>
                </w:tcPr>
                <w:p>
                  <w:pPr>
                    <w:pStyle w:val="45"/>
                    <w:rPr>
                      <w:rFonts w:ascii="Times New Roman" w:hAnsi="Times New Roman"/>
                      <w:color w:val="auto"/>
                      <w:sz w:val="21"/>
                      <w:szCs w:val="21"/>
                    </w:rPr>
                  </w:pPr>
                  <w:r>
                    <w:rPr>
                      <w:rFonts w:ascii="Times New Roman" w:hAnsi="Times New Roman"/>
                      <w:color w:val="auto"/>
                      <w:sz w:val="21"/>
                      <w:szCs w:val="21"/>
                    </w:rPr>
                    <w:t>2类区</w:t>
                  </w:r>
                </w:p>
              </w:tc>
              <w:tc>
                <w:tcPr>
                  <w:tcW w:w="1798" w:type="dxa"/>
                  <w:vMerge w:val="restart"/>
                  <w:tcBorders>
                    <w:tl2br w:val="nil"/>
                    <w:tr2bl w:val="nil"/>
                  </w:tcBorders>
                  <w:tcMar>
                    <w:left w:w="28" w:type="dxa"/>
                    <w:right w:w="28" w:type="dxa"/>
                  </w:tcMar>
                  <w:vAlign w:val="center"/>
                </w:tcPr>
                <w:p>
                  <w:pPr>
                    <w:pStyle w:val="45"/>
                    <w:rPr>
                      <w:color w:val="auto"/>
                      <w:szCs w:val="21"/>
                    </w:rPr>
                  </w:pPr>
                  <w:r>
                    <w:rPr>
                      <w:rFonts w:ascii="Times New Roman" w:hAnsi="Times New Roman"/>
                      <w:color w:val="auto"/>
                      <w:sz w:val="21"/>
                      <w:szCs w:val="21"/>
                    </w:rPr>
                    <w:t>《声环境质量标准》(GB3096-2008)中</w:t>
                  </w:r>
                  <w:r>
                    <w:rPr>
                      <w:color w:val="auto"/>
                      <w:szCs w:val="21"/>
                    </w:rPr>
                    <w:t>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5" w:type="dxa"/>
                  <w:vMerge w:val="continue"/>
                  <w:tcBorders>
                    <w:tl2br w:val="nil"/>
                    <w:tr2bl w:val="nil"/>
                  </w:tcBorders>
                  <w:vAlign w:val="center"/>
                </w:tcPr>
                <w:p>
                  <w:pPr>
                    <w:spacing w:line="360" w:lineRule="exact"/>
                    <w:jc w:val="center"/>
                    <w:rPr>
                      <w:color w:val="auto"/>
                      <w:szCs w:val="21"/>
                    </w:rPr>
                  </w:pPr>
                </w:p>
              </w:tc>
              <w:tc>
                <w:tcPr>
                  <w:tcW w:w="709" w:type="dxa"/>
                  <w:vMerge w:val="continue"/>
                  <w:tcBorders>
                    <w:tl2br w:val="nil"/>
                    <w:tr2bl w:val="nil"/>
                  </w:tcBorders>
                  <w:vAlign w:val="center"/>
                </w:tcPr>
                <w:p>
                  <w:pPr>
                    <w:spacing w:line="360" w:lineRule="exact"/>
                    <w:jc w:val="center"/>
                    <w:rPr>
                      <w:color w:val="auto"/>
                      <w:szCs w:val="21"/>
                    </w:rPr>
                  </w:pPr>
                </w:p>
              </w:tc>
              <w:tc>
                <w:tcPr>
                  <w:tcW w:w="947" w:type="dxa"/>
                  <w:tcBorders>
                    <w:tl2br w:val="nil"/>
                    <w:tr2bl w:val="nil"/>
                  </w:tcBorders>
                  <w:tcMar>
                    <w:left w:w="28" w:type="dxa"/>
                    <w:right w:w="28" w:type="dxa"/>
                  </w:tcMar>
                  <w:vAlign w:val="center"/>
                </w:tcPr>
                <w:p>
                  <w:pPr>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马桑坝</w:t>
                  </w:r>
                </w:p>
              </w:tc>
              <w:tc>
                <w:tcPr>
                  <w:tcW w:w="564" w:type="dxa"/>
                  <w:gridSpan w:val="2"/>
                  <w:tcBorders>
                    <w:tl2br w:val="nil"/>
                    <w:tr2bl w:val="nil"/>
                  </w:tcBorders>
                  <w:tcMar>
                    <w:left w:w="28" w:type="dxa"/>
                    <w:right w:w="28" w:type="dxa"/>
                  </w:tcMar>
                  <w:vAlign w:val="center"/>
                </w:tcPr>
                <w:p>
                  <w:pPr>
                    <w:spacing w:line="36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30</w:t>
                  </w:r>
                </w:p>
              </w:tc>
              <w:tc>
                <w:tcPr>
                  <w:tcW w:w="567" w:type="dxa"/>
                  <w:tcBorders>
                    <w:tl2br w:val="nil"/>
                    <w:tr2bl w:val="nil"/>
                  </w:tcBorders>
                  <w:tcMar>
                    <w:left w:w="28" w:type="dxa"/>
                    <w:right w:w="28" w:type="dxa"/>
                  </w:tcMar>
                  <w:vAlign w:val="center"/>
                </w:tcPr>
                <w:p>
                  <w:pPr>
                    <w:snapToGrid w:val="0"/>
                    <w:jc w:val="center"/>
                    <w:rPr>
                      <w:rFonts w:ascii="Times New Roman" w:hAnsi="Times New Roman" w:eastAsia="宋体" w:cs="Times New Roman"/>
                      <w:color w:val="auto"/>
                      <w:kern w:val="2"/>
                      <w:sz w:val="21"/>
                      <w:szCs w:val="21"/>
                      <w:lang w:val="en-US" w:eastAsia="zh-CN" w:bidi="ar-SA"/>
                    </w:rPr>
                  </w:pPr>
                  <w:r>
                    <w:rPr>
                      <w:color w:val="auto"/>
                      <w:szCs w:val="21"/>
                    </w:rPr>
                    <w:t>1</w:t>
                  </w:r>
                  <w:r>
                    <w:rPr>
                      <w:rFonts w:hint="eastAsia"/>
                      <w:color w:val="auto"/>
                      <w:szCs w:val="21"/>
                      <w:lang w:val="en-US" w:eastAsia="zh-CN"/>
                    </w:rPr>
                    <w:t>2</w:t>
                  </w:r>
                  <w:r>
                    <w:rPr>
                      <w:color w:val="auto"/>
                      <w:szCs w:val="21"/>
                    </w:rPr>
                    <w:t xml:space="preserve">0 </w:t>
                  </w:r>
                </w:p>
              </w:tc>
              <w:tc>
                <w:tcPr>
                  <w:tcW w:w="567" w:type="dxa"/>
                  <w:tcBorders>
                    <w:tl2br w:val="nil"/>
                    <w:tr2bl w:val="nil"/>
                  </w:tcBorders>
                  <w:tcMar>
                    <w:left w:w="28" w:type="dxa"/>
                    <w:right w:w="28" w:type="dxa"/>
                  </w:tcMar>
                  <w:vAlign w:val="center"/>
                </w:tcPr>
                <w:p>
                  <w:pPr>
                    <w:snapToGrid w:val="0"/>
                    <w:jc w:val="center"/>
                    <w:rPr>
                      <w:rFonts w:ascii="Times New Roman" w:hAnsi="Times New Roman" w:eastAsia="宋体" w:cs="Times New Roman"/>
                      <w:color w:val="auto"/>
                      <w:kern w:val="2"/>
                      <w:sz w:val="21"/>
                      <w:szCs w:val="21"/>
                      <w:lang w:val="en-US" w:eastAsia="zh-CN" w:bidi="ar-SA"/>
                    </w:rPr>
                  </w:pPr>
                  <w:r>
                    <w:rPr>
                      <w:color w:val="auto"/>
                      <w:szCs w:val="21"/>
                    </w:rPr>
                    <w:t>N</w:t>
                  </w:r>
                </w:p>
              </w:tc>
              <w:tc>
                <w:tcPr>
                  <w:tcW w:w="850" w:type="dxa"/>
                  <w:tcBorders>
                    <w:tl2br w:val="nil"/>
                    <w:tr2bl w:val="nil"/>
                  </w:tcBorders>
                  <w:tcMar>
                    <w:left w:w="28" w:type="dxa"/>
                    <w:right w:w="28" w:type="dxa"/>
                  </w:tcMar>
                  <w:vAlign w:val="center"/>
                </w:tcPr>
                <w:p>
                  <w:pPr>
                    <w:snapToGrid w:val="0"/>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6</w:t>
                  </w:r>
                  <w:r>
                    <w:rPr>
                      <w:color w:val="auto"/>
                      <w:szCs w:val="21"/>
                    </w:rPr>
                    <w:t>0</w:t>
                  </w:r>
                </w:p>
              </w:tc>
              <w:tc>
                <w:tcPr>
                  <w:tcW w:w="851" w:type="dxa"/>
                  <w:vMerge w:val="continue"/>
                  <w:tcBorders>
                    <w:tl2br w:val="nil"/>
                    <w:tr2bl w:val="nil"/>
                  </w:tcBorders>
                  <w:tcMar>
                    <w:left w:w="28" w:type="dxa"/>
                    <w:right w:w="28" w:type="dxa"/>
                  </w:tcMar>
                  <w:vAlign w:val="center"/>
                </w:tcPr>
                <w:p>
                  <w:pPr>
                    <w:pStyle w:val="45"/>
                    <w:rPr>
                      <w:rFonts w:ascii="Times New Roman" w:hAnsi="Times New Roman"/>
                      <w:color w:val="auto"/>
                      <w:kern w:val="0"/>
                      <w:sz w:val="21"/>
                      <w:szCs w:val="21"/>
                      <w:lang w:eastAsia="en-US"/>
                    </w:rPr>
                  </w:pPr>
                </w:p>
              </w:tc>
              <w:tc>
                <w:tcPr>
                  <w:tcW w:w="850" w:type="dxa"/>
                  <w:vMerge w:val="continue"/>
                  <w:tcBorders>
                    <w:tl2br w:val="nil"/>
                    <w:tr2bl w:val="nil"/>
                  </w:tcBorders>
                  <w:tcMar>
                    <w:left w:w="28" w:type="dxa"/>
                    <w:right w:w="28" w:type="dxa"/>
                  </w:tcMar>
                  <w:vAlign w:val="center"/>
                </w:tcPr>
                <w:p>
                  <w:pPr>
                    <w:pStyle w:val="45"/>
                    <w:rPr>
                      <w:rFonts w:ascii="Times New Roman" w:hAnsi="Times New Roman"/>
                      <w:color w:val="auto"/>
                      <w:sz w:val="21"/>
                      <w:szCs w:val="21"/>
                    </w:rPr>
                  </w:pPr>
                </w:p>
              </w:tc>
              <w:tc>
                <w:tcPr>
                  <w:tcW w:w="1798" w:type="dxa"/>
                  <w:vMerge w:val="continue"/>
                  <w:tcBorders>
                    <w:tl2br w:val="nil"/>
                    <w:tr2bl w:val="nil"/>
                  </w:tcBorders>
                  <w:tcMar>
                    <w:left w:w="28" w:type="dxa"/>
                    <w:right w:w="28" w:type="dxa"/>
                  </w:tcMar>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5" w:type="dxa"/>
                  <w:vMerge w:val="continue"/>
                  <w:tcBorders>
                    <w:tl2br w:val="nil"/>
                    <w:tr2bl w:val="nil"/>
                  </w:tcBorders>
                  <w:vAlign w:val="center"/>
                </w:tcPr>
                <w:p>
                  <w:pPr>
                    <w:spacing w:line="360" w:lineRule="exact"/>
                    <w:jc w:val="center"/>
                    <w:rPr>
                      <w:color w:val="auto"/>
                      <w:szCs w:val="21"/>
                    </w:rPr>
                  </w:pPr>
                </w:p>
              </w:tc>
              <w:tc>
                <w:tcPr>
                  <w:tcW w:w="709" w:type="dxa"/>
                  <w:vMerge w:val="continue"/>
                  <w:tcBorders>
                    <w:tl2br w:val="nil"/>
                    <w:tr2bl w:val="nil"/>
                  </w:tcBorders>
                  <w:vAlign w:val="center"/>
                </w:tcPr>
                <w:p>
                  <w:pPr>
                    <w:spacing w:line="360" w:lineRule="exact"/>
                    <w:jc w:val="center"/>
                    <w:rPr>
                      <w:color w:val="auto"/>
                      <w:szCs w:val="21"/>
                    </w:rPr>
                  </w:pPr>
                </w:p>
              </w:tc>
              <w:tc>
                <w:tcPr>
                  <w:tcW w:w="947" w:type="dxa"/>
                  <w:tcBorders>
                    <w:tl2br w:val="nil"/>
                    <w:tr2bl w:val="nil"/>
                  </w:tcBorders>
                  <w:tcMar>
                    <w:left w:w="28" w:type="dxa"/>
                    <w:right w:w="28" w:type="dxa"/>
                  </w:tcMar>
                  <w:vAlign w:val="center"/>
                </w:tcPr>
                <w:p>
                  <w:pPr>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武学村二组</w:t>
                  </w:r>
                </w:p>
              </w:tc>
              <w:tc>
                <w:tcPr>
                  <w:tcW w:w="564" w:type="dxa"/>
                  <w:gridSpan w:val="2"/>
                  <w:tcBorders>
                    <w:tl2br w:val="nil"/>
                    <w:tr2bl w:val="nil"/>
                  </w:tcBorders>
                  <w:tcMar>
                    <w:left w:w="28" w:type="dxa"/>
                    <w:right w:w="28" w:type="dxa"/>
                  </w:tcMar>
                  <w:vAlign w:val="center"/>
                </w:tcPr>
                <w:p>
                  <w:pPr>
                    <w:spacing w:line="360" w:lineRule="exact"/>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r>
                    <w:rPr>
                      <w:color w:val="auto"/>
                      <w:szCs w:val="21"/>
                    </w:rPr>
                    <w:t>0</w:t>
                  </w:r>
                </w:p>
              </w:tc>
              <w:tc>
                <w:tcPr>
                  <w:tcW w:w="567" w:type="dxa"/>
                  <w:tcBorders>
                    <w:tl2br w:val="nil"/>
                    <w:tr2bl w:val="nil"/>
                  </w:tcBorders>
                  <w:tcMar>
                    <w:left w:w="28" w:type="dxa"/>
                    <w:right w:w="28" w:type="dxa"/>
                  </w:tcMar>
                  <w:vAlign w:val="center"/>
                </w:tcPr>
                <w:p>
                  <w:pPr>
                    <w:snapToGrid w:val="0"/>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4</w:t>
                  </w:r>
                  <w:r>
                    <w:rPr>
                      <w:color w:val="auto"/>
                      <w:szCs w:val="21"/>
                    </w:rPr>
                    <w:t>0</w:t>
                  </w:r>
                </w:p>
              </w:tc>
              <w:tc>
                <w:tcPr>
                  <w:tcW w:w="567" w:type="dxa"/>
                  <w:tcBorders>
                    <w:tl2br w:val="nil"/>
                    <w:tr2bl w:val="nil"/>
                  </w:tcBorders>
                  <w:tcMar>
                    <w:left w:w="28" w:type="dxa"/>
                    <w:right w:w="28" w:type="dxa"/>
                  </w:tcMar>
                  <w:vAlign w:val="center"/>
                </w:tcPr>
                <w:p>
                  <w:pPr>
                    <w:snapToGrid w:val="0"/>
                    <w:jc w:val="center"/>
                    <w:rPr>
                      <w:rFonts w:ascii="Times New Roman" w:hAnsi="Times New Roman" w:eastAsia="宋体" w:cs="Times New Roman"/>
                      <w:color w:val="auto"/>
                      <w:kern w:val="2"/>
                      <w:sz w:val="21"/>
                      <w:szCs w:val="21"/>
                      <w:lang w:val="en-US" w:eastAsia="zh-CN" w:bidi="ar-SA"/>
                    </w:rPr>
                  </w:pPr>
                  <w:r>
                    <w:rPr>
                      <w:color w:val="auto"/>
                      <w:szCs w:val="21"/>
                    </w:rPr>
                    <w:t>N</w:t>
                  </w:r>
                </w:p>
              </w:tc>
              <w:tc>
                <w:tcPr>
                  <w:tcW w:w="850" w:type="dxa"/>
                  <w:tcBorders>
                    <w:tl2br w:val="nil"/>
                    <w:tr2bl w:val="nil"/>
                  </w:tcBorders>
                  <w:tcMar>
                    <w:left w:w="28" w:type="dxa"/>
                    <w:right w:w="28" w:type="dxa"/>
                  </w:tcMar>
                  <w:vAlign w:val="center"/>
                </w:tcPr>
                <w:p>
                  <w:pPr>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80</w:t>
                  </w:r>
                </w:p>
              </w:tc>
              <w:tc>
                <w:tcPr>
                  <w:tcW w:w="851" w:type="dxa"/>
                  <w:vMerge w:val="continue"/>
                  <w:tcBorders>
                    <w:tl2br w:val="nil"/>
                    <w:tr2bl w:val="nil"/>
                  </w:tcBorders>
                  <w:tcMar>
                    <w:left w:w="28" w:type="dxa"/>
                    <w:right w:w="28" w:type="dxa"/>
                  </w:tcMar>
                  <w:vAlign w:val="center"/>
                </w:tcPr>
                <w:p>
                  <w:pPr>
                    <w:pStyle w:val="45"/>
                    <w:rPr>
                      <w:rFonts w:ascii="Times New Roman" w:hAnsi="Times New Roman"/>
                      <w:color w:val="auto"/>
                      <w:kern w:val="0"/>
                      <w:sz w:val="21"/>
                      <w:szCs w:val="21"/>
                      <w:lang w:eastAsia="en-US"/>
                    </w:rPr>
                  </w:pPr>
                </w:p>
              </w:tc>
              <w:tc>
                <w:tcPr>
                  <w:tcW w:w="850" w:type="dxa"/>
                  <w:vMerge w:val="continue"/>
                  <w:tcBorders>
                    <w:tl2br w:val="nil"/>
                    <w:tr2bl w:val="nil"/>
                  </w:tcBorders>
                  <w:tcMar>
                    <w:left w:w="28" w:type="dxa"/>
                    <w:right w:w="28" w:type="dxa"/>
                  </w:tcMar>
                  <w:vAlign w:val="center"/>
                </w:tcPr>
                <w:p>
                  <w:pPr>
                    <w:pStyle w:val="45"/>
                    <w:rPr>
                      <w:rFonts w:ascii="Times New Roman" w:hAnsi="Times New Roman"/>
                      <w:color w:val="auto"/>
                      <w:sz w:val="21"/>
                      <w:szCs w:val="21"/>
                    </w:rPr>
                  </w:pPr>
                </w:p>
              </w:tc>
              <w:tc>
                <w:tcPr>
                  <w:tcW w:w="1798" w:type="dxa"/>
                  <w:vMerge w:val="continue"/>
                  <w:tcBorders>
                    <w:tl2br w:val="nil"/>
                    <w:tr2bl w:val="nil"/>
                  </w:tcBorders>
                  <w:tcMar>
                    <w:left w:w="28" w:type="dxa"/>
                    <w:right w:w="28" w:type="dxa"/>
                  </w:tcMar>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425" w:type="dxa"/>
                  <w:vMerge w:val="continue"/>
                  <w:tcBorders>
                    <w:tl2br w:val="nil"/>
                    <w:tr2bl w:val="nil"/>
                  </w:tcBorders>
                  <w:vAlign w:val="center"/>
                </w:tcPr>
                <w:p>
                  <w:pPr>
                    <w:spacing w:line="360" w:lineRule="exact"/>
                    <w:jc w:val="center"/>
                    <w:rPr>
                      <w:color w:val="auto"/>
                      <w:szCs w:val="21"/>
                    </w:rPr>
                  </w:pPr>
                </w:p>
              </w:tc>
              <w:tc>
                <w:tcPr>
                  <w:tcW w:w="709" w:type="dxa"/>
                  <w:vMerge w:val="continue"/>
                  <w:tcBorders>
                    <w:tl2br w:val="nil"/>
                    <w:tr2bl w:val="nil"/>
                  </w:tcBorders>
                  <w:vAlign w:val="center"/>
                </w:tcPr>
                <w:p>
                  <w:pPr>
                    <w:spacing w:line="360" w:lineRule="exact"/>
                    <w:jc w:val="center"/>
                    <w:rPr>
                      <w:color w:val="auto"/>
                      <w:szCs w:val="21"/>
                    </w:rPr>
                  </w:pPr>
                </w:p>
              </w:tc>
              <w:tc>
                <w:tcPr>
                  <w:tcW w:w="947" w:type="dxa"/>
                  <w:tcBorders>
                    <w:tl2br w:val="nil"/>
                    <w:tr2bl w:val="nil"/>
                  </w:tcBorders>
                  <w:tcMar>
                    <w:left w:w="28" w:type="dxa"/>
                    <w:right w:w="28" w:type="dxa"/>
                  </w:tcMar>
                  <w:vAlign w:val="center"/>
                </w:tcPr>
                <w:p>
                  <w:pPr>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石滚坝</w:t>
                  </w:r>
                </w:p>
              </w:tc>
              <w:tc>
                <w:tcPr>
                  <w:tcW w:w="564" w:type="dxa"/>
                  <w:gridSpan w:val="2"/>
                  <w:tcBorders>
                    <w:tl2br w:val="nil"/>
                    <w:tr2bl w:val="nil"/>
                  </w:tcBorders>
                  <w:tcMar>
                    <w:left w:w="28" w:type="dxa"/>
                    <w:right w:w="28" w:type="dxa"/>
                  </w:tcMar>
                  <w:vAlign w:val="center"/>
                </w:tcPr>
                <w:p>
                  <w:pPr>
                    <w:spacing w:line="360" w:lineRule="exact"/>
                    <w:jc w:val="center"/>
                    <w:rPr>
                      <w:rFonts w:ascii="Times New Roman" w:hAnsi="Times New Roman" w:eastAsia="宋体" w:cs="Times New Roman"/>
                      <w:color w:val="auto"/>
                      <w:kern w:val="2"/>
                      <w:sz w:val="21"/>
                      <w:szCs w:val="21"/>
                      <w:lang w:val="en-US" w:eastAsia="zh-CN" w:bidi="ar-SA"/>
                    </w:rPr>
                  </w:pPr>
                  <w:r>
                    <w:rPr>
                      <w:color w:val="auto"/>
                      <w:szCs w:val="21"/>
                    </w:rPr>
                    <w:t>15</w:t>
                  </w:r>
                </w:p>
              </w:tc>
              <w:tc>
                <w:tcPr>
                  <w:tcW w:w="567" w:type="dxa"/>
                  <w:tcBorders>
                    <w:tl2br w:val="nil"/>
                    <w:tr2bl w:val="nil"/>
                  </w:tcBorders>
                  <w:tcMar>
                    <w:left w:w="28" w:type="dxa"/>
                    <w:right w:w="28" w:type="dxa"/>
                  </w:tcMar>
                  <w:vAlign w:val="center"/>
                </w:tcPr>
                <w:p>
                  <w:pPr>
                    <w:snapToGrid w:val="0"/>
                    <w:jc w:val="center"/>
                    <w:rPr>
                      <w:rFonts w:ascii="Times New Roman" w:hAnsi="Times New Roman" w:eastAsia="宋体" w:cs="Times New Roman"/>
                      <w:color w:val="auto"/>
                      <w:kern w:val="2"/>
                      <w:sz w:val="21"/>
                      <w:szCs w:val="21"/>
                      <w:lang w:val="en-US" w:eastAsia="zh-CN" w:bidi="ar-SA"/>
                    </w:rPr>
                  </w:pPr>
                  <w:r>
                    <w:rPr>
                      <w:color w:val="auto"/>
                      <w:szCs w:val="21"/>
                    </w:rPr>
                    <w:t>60</w:t>
                  </w:r>
                </w:p>
              </w:tc>
              <w:tc>
                <w:tcPr>
                  <w:tcW w:w="567" w:type="dxa"/>
                  <w:tcBorders>
                    <w:tl2br w:val="nil"/>
                    <w:tr2bl w:val="nil"/>
                  </w:tcBorders>
                  <w:tcMar>
                    <w:left w:w="28" w:type="dxa"/>
                    <w:right w:w="28" w:type="dxa"/>
                  </w:tcMar>
                  <w:vAlign w:val="center"/>
                </w:tcPr>
                <w:p>
                  <w:pPr>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W</w:t>
                  </w:r>
                </w:p>
              </w:tc>
              <w:tc>
                <w:tcPr>
                  <w:tcW w:w="850" w:type="dxa"/>
                  <w:tcBorders>
                    <w:tl2br w:val="nil"/>
                    <w:tr2bl w:val="nil"/>
                  </w:tcBorders>
                  <w:tcMar>
                    <w:left w:w="28" w:type="dxa"/>
                    <w:right w:w="28" w:type="dxa"/>
                  </w:tcMar>
                  <w:vAlign w:val="center"/>
                </w:tcPr>
                <w:p>
                  <w:pPr>
                    <w:snapToGrid w:val="0"/>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5</w:t>
                  </w:r>
                  <w:r>
                    <w:rPr>
                      <w:color w:val="auto"/>
                      <w:szCs w:val="21"/>
                    </w:rPr>
                    <w:t>0</w:t>
                  </w:r>
                </w:p>
              </w:tc>
              <w:tc>
                <w:tcPr>
                  <w:tcW w:w="851" w:type="dxa"/>
                  <w:vMerge w:val="continue"/>
                  <w:tcBorders>
                    <w:tl2br w:val="nil"/>
                    <w:tr2bl w:val="nil"/>
                  </w:tcBorders>
                  <w:tcMar>
                    <w:left w:w="28" w:type="dxa"/>
                    <w:right w:w="28" w:type="dxa"/>
                  </w:tcMar>
                  <w:vAlign w:val="center"/>
                </w:tcPr>
                <w:p>
                  <w:pPr>
                    <w:pStyle w:val="45"/>
                    <w:rPr>
                      <w:rFonts w:ascii="Times New Roman" w:hAnsi="Times New Roman"/>
                      <w:color w:val="auto"/>
                      <w:kern w:val="0"/>
                      <w:sz w:val="21"/>
                      <w:szCs w:val="21"/>
                      <w:lang w:eastAsia="en-US"/>
                    </w:rPr>
                  </w:pPr>
                </w:p>
              </w:tc>
              <w:tc>
                <w:tcPr>
                  <w:tcW w:w="850" w:type="dxa"/>
                  <w:vMerge w:val="continue"/>
                  <w:tcBorders>
                    <w:tl2br w:val="nil"/>
                    <w:tr2bl w:val="nil"/>
                  </w:tcBorders>
                  <w:tcMar>
                    <w:left w:w="28" w:type="dxa"/>
                    <w:right w:w="28" w:type="dxa"/>
                  </w:tcMar>
                  <w:vAlign w:val="center"/>
                </w:tcPr>
                <w:p>
                  <w:pPr>
                    <w:pStyle w:val="45"/>
                    <w:rPr>
                      <w:rFonts w:ascii="Times New Roman" w:hAnsi="Times New Roman"/>
                      <w:color w:val="auto"/>
                      <w:sz w:val="21"/>
                      <w:szCs w:val="21"/>
                    </w:rPr>
                  </w:pPr>
                </w:p>
              </w:tc>
              <w:tc>
                <w:tcPr>
                  <w:tcW w:w="1798" w:type="dxa"/>
                  <w:vMerge w:val="continue"/>
                  <w:tcBorders>
                    <w:tl2br w:val="nil"/>
                    <w:tr2bl w:val="nil"/>
                  </w:tcBorders>
                  <w:tcMar>
                    <w:left w:w="28" w:type="dxa"/>
                    <w:right w:w="28" w:type="dxa"/>
                  </w:tcMar>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5" w:type="dxa"/>
                  <w:vMerge w:val="continue"/>
                  <w:tcBorders>
                    <w:tl2br w:val="nil"/>
                    <w:tr2bl w:val="nil"/>
                  </w:tcBorders>
                  <w:vAlign w:val="center"/>
                </w:tcPr>
                <w:p>
                  <w:pPr>
                    <w:spacing w:line="360" w:lineRule="exact"/>
                    <w:jc w:val="center"/>
                    <w:rPr>
                      <w:color w:val="auto"/>
                      <w:szCs w:val="21"/>
                    </w:rPr>
                  </w:pPr>
                </w:p>
              </w:tc>
              <w:tc>
                <w:tcPr>
                  <w:tcW w:w="709" w:type="dxa"/>
                  <w:vMerge w:val="continue"/>
                  <w:tcBorders>
                    <w:tl2br w:val="nil"/>
                    <w:tr2bl w:val="nil"/>
                  </w:tcBorders>
                  <w:vAlign w:val="center"/>
                </w:tcPr>
                <w:p>
                  <w:pPr>
                    <w:spacing w:line="360" w:lineRule="exact"/>
                    <w:jc w:val="center"/>
                    <w:rPr>
                      <w:color w:val="auto"/>
                      <w:szCs w:val="21"/>
                    </w:rPr>
                  </w:pPr>
                </w:p>
              </w:tc>
              <w:tc>
                <w:tcPr>
                  <w:tcW w:w="947" w:type="dxa"/>
                  <w:tcBorders>
                    <w:tl2br w:val="nil"/>
                    <w:tr2bl w:val="nil"/>
                  </w:tcBorders>
                  <w:tcMar>
                    <w:left w:w="28" w:type="dxa"/>
                    <w:right w:w="28" w:type="dxa"/>
                  </w:tcMar>
                  <w:vAlign w:val="center"/>
                </w:tcPr>
                <w:p>
                  <w:pPr>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桃园村</w:t>
                  </w:r>
                </w:p>
              </w:tc>
              <w:tc>
                <w:tcPr>
                  <w:tcW w:w="564" w:type="dxa"/>
                  <w:gridSpan w:val="2"/>
                  <w:tcBorders>
                    <w:tl2br w:val="nil"/>
                    <w:tr2bl w:val="nil"/>
                  </w:tcBorders>
                  <w:tcMar>
                    <w:left w:w="28" w:type="dxa"/>
                    <w:right w:w="28" w:type="dxa"/>
                  </w:tcMar>
                  <w:vAlign w:val="center"/>
                </w:tcPr>
                <w:p>
                  <w:pPr>
                    <w:spacing w:line="360" w:lineRule="exact"/>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5</w:t>
                  </w:r>
                </w:p>
              </w:tc>
              <w:tc>
                <w:tcPr>
                  <w:tcW w:w="567" w:type="dxa"/>
                  <w:tcBorders>
                    <w:tl2br w:val="nil"/>
                    <w:tr2bl w:val="nil"/>
                  </w:tcBorders>
                  <w:tcMar>
                    <w:left w:w="28" w:type="dxa"/>
                    <w:right w:w="28" w:type="dxa"/>
                  </w:tcMar>
                  <w:vAlign w:val="center"/>
                </w:tcPr>
                <w:p>
                  <w:pPr>
                    <w:snapToGrid w:val="0"/>
                    <w:jc w:val="center"/>
                    <w:rPr>
                      <w:rFonts w:ascii="Times New Roman" w:hAnsi="Times New Roman" w:eastAsia="宋体" w:cs="Times New Roman"/>
                      <w:color w:val="auto"/>
                      <w:kern w:val="2"/>
                      <w:sz w:val="21"/>
                      <w:szCs w:val="21"/>
                      <w:lang w:val="en-US" w:eastAsia="zh-CN" w:bidi="ar-SA"/>
                    </w:rPr>
                  </w:pPr>
                  <w:r>
                    <w:rPr>
                      <w:color w:val="auto"/>
                      <w:szCs w:val="21"/>
                    </w:rPr>
                    <w:t>20</w:t>
                  </w:r>
                </w:p>
              </w:tc>
              <w:tc>
                <w:tcPr>
                  <w:tcW w:w="567" w:type="dxa"/>
                  <w:tcBorders>
                    <w:tl2br w:val="nil"/>
                    <w:tr2bl w:val="nil"/>
                  </w:tcBorders>
                  <w:tcMar>
                    <w:left w:w="28" w:type="dxa"/>
                    <w:right w:w="28" w:type="dxa"/>
                  </w:tcMar>
                  <w:vAlign w:val="center"/>
                </w:tcPr>
                <w:p>
                  <w:pPr>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W</w:t>
                  </w:r>
                </w:p>
              </w:tc>
              <w:tc>
                <w:tcPr>
                  <w:tcW w:w="850" w:type="dxa"/>
                  <w:tcBorders>
                    <w:tl2br w:val="nil"/>
                    <w:tr2bl w:val="nil"/>
                  </w:tcBorders>
                  <w:tcMar>
                    <w:left w:w="28" w:type="dxa"/>
                    <w:right w:w="28" w:type="dxa"/>
                  </w:tcMar>
                  <w:vAlign w:val="center"/>
                </w:tcPr>
                <w:p>
                  <w:pPr>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20</w:t>
                  </w:r>
                </w:p>
              </w:tc>
              <w:tc>
                <w:tcPr>
                  <w:tcW w:w="851" w:type="dxa"/>
                  <w:vMerge w:val="continue"/>
                  <w:tcBorders>
                    <w:tl2br w:val="nil"/>
                    <w:tr2bl w:val="nil"/>
                  </w:tcBorders>
                  <w:tcMar>
                    <w:left w:w="28" w:type="dxa"/>
                    <w:right w:w="28" w:type="dxa"/>
                  </w:tcMar>
                  <w:vAlign w:val="center"/>
                </w:tcPr>
                <w:p>
                  <w:pPr>
                    <w:pStyle w:val="45"/>
                    <w:rPr>
                      <w:rFonts w:ascii="Times New Roman" w:hAnsi="Times New Roman"/>
                      <w:color w:val="auto"/>
                      <w:kern w:val="0"/>
                      <w:sz w:val="21"/>
                      <w:szCs w:val="21"/>
                      <w:lang w:eastAsia="en-US"/>
                    </w:rPr>
                  </w:pPr>
                </w:p>
              </w:tc>
              <w:tc>
                <w:tcPr>
                  <w:tcW w:w="850" w:type="dxa"/>
                  <w:vMerge w:val="continue"/>
                  <w:tcBorders>
                    <w:tl2br w:val="nil"/>
                    <w:tr2bl w:val="nil"/>
                  </w:tcBorders>
                  <w:tcMar>
                    <w:left w:w="28" w:type="dxa"/>
                    <w:right w:w="28" w:type="dxa"/>
                  </w:tcMar>
                  <w:vAlign w:val="center"/>
                </w:tcPr>
                <w:p>
                  <w:pPr>
                    <w:pStyle w:val="45"/>
                    <w:rPr>
                      <w:rFonts w:ascii="Times New Roman" w:hAnsi="Times New Roman"/>
                      <w:color w:val="auto"/>
                      <w:sz w:val="21"/>
                      <w:szCs w:val="21"/>
                    </w:rPr>
                  </w:pPr>
                </w:p>
              </w:tc>
              <w:tc>
                <w:tcPr>
                  <w:tcW w:w="1798" w:type="dxa"/>
                  <w:vMerge w:val="continue"/>
                  <w:tcBorders>
                    <w:tl2br w:val="nil"/>
                    <w:tr2bl w:val="nil"/>
                  </w:tcBorders>
                  <w:tcMar>
                    <w:left w:w="28" w:type="dxa"/>
                    <w:right w:w="28" w:type="dxa"/>
                  </w:tcMar>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5" w:type="dxa"/>
                  <w:vMerge w:val="continue"/>
                  <w:tcBorders>
                    <w:tl2br w:val="nil"/>
                    <w:tr2bl w:val="nil"/>
                  </w:tcBorders>
                  <w:vAlign w:val="center"/>
                </w:tcPr>
                <w:p>
                  <w:pPr>
                    <w:spacing w:line="360" w:lineRule="exact"/>
                    <w:jc w:val="center"/>
                    <w:rPr>
                      <w:color w:val="auto"/>
                      <w:szCs w:val="21"/>
                    </w:rPr>
                  </w:pPr>
                </w:p>
              </w:tc>
              <w:tc>
                <w:tcPr>
                  <w:tcW w:w="709" w:type="dxa"/>
                  <w:vMerge w:val="continue"/>
                  <w:tcBorders>
                    <w:tl2br w:val="nil"/>
                    <w:tr2bl w:val="nil"/>
                  </w:tcBorders>
                  <w:vAlign w:val="center"/>
                </w:tcPr>
                <w:p>
                  <w:pPr>
                    <w:spacing w:line="360" w:lineRule="exact"/>
                    <w:jc w:val="center"/>
                    <w:rPr>
                      <w:color w:val="auto"/>
                      <w:szCs w:val="21"/>
                    </w:rPr>
                  </w:pPr>
                </w:p>
              </w:tc>
              <w:tc>
                <w:tcPr>
                  <w:tcW w:w="947" w:type="dxa"/>
                  <w:tcBorders>
                    <w:tl2br w:val="nil"/>
                    <w:tr2bl w:val="nil"/>
                  </w:tcBorders>
                  <w:tcMar>
                    <w:left w:w="28" w:type="dxa"/>
                    <w:right w:w="28" w:type="dxa"/>
                  </w:tcMar>
                  <w:vAlign w:val="center"/>
                </w:tcPr>
                <w:p>
                  <w:pPr>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西河村一组</w:t>
                  </w:r>
                </w:p>
              </w:tc>
              <w:tc>
                <w:tcPr>
                  <w:tcW w:w="564" w:type="dxa"/>
                  <w:gridSpan w:val="2"/>
                  <w:tcBorders>
                    <w:tl2br w:val="nil"/>
                    <w:tr2bl w:val="nil"/>
                  </w:tcBorders>
                  <w:tcMar>
                    <w:left w:w="28" w:type="dxa"/>
                    <w:right w:w="28" w:type="dxa"/>
                  </w:tcMar>
                  <w:vAlign w:val="center"/>
                </w:tcPr>
                <w:p>
                  <w:pPr>
                    <w:spacing w:line="360" w:lineRule="exact"/>
                    <w:jc w:val="center"/>
                    <w:rPr>
                      <w:rFonts w:ascii="Times New Roman" w:hAnsi="Times New Roman" w:eastAsia="宋体" w:cs="Times New Roman"/>
                      <w:color w:val="auto"/>
                      <w:kern w:val="2"/>
                      <w:sz w:val="21"/>
                      <w:szCs w:val="21"/>
                      <w:lang w:val="en-US" w:eastAsia="zh-CN" w:bidi="ar-SA"/>
                    </w:rPr>
                  </w:pPr>
                  <w:r>
                    <w:rPr>
                      <w:color w:val="auto"/>
                      <w:szCs w:val="21"/>
                    </w:rPr>
                    <w:t>35</w:t>
                  </w:r>
                </w:p>
              </w:tc>
              <w:tc>
                <w:tcPr>
                  <w:tcW w:w="567" w:type="dxa"/>
                  <w:tcBorders>
                    <w:tl2br w:val="nil"/>
                    <w:tr2bl w:val="nil"/>
                  </w:tcBorders>
                  <w:tcMar>
                    <w:left w:w="28" w:type="dxa"/>
                    <w:right w:w="28" w:type="dxa"/>
                  </w:tcMar>
                  <w:vAlign w:val="center"/>
                </w:tcPr>
                <w:p>
                  <w:pPr>
                    <w:snapToGrid w:val="0"/>
                    <w:jc w:val="center"/>
                    <w:rPr>
                      <w:rFonts w:ascii="Times New Roman" w:hAnsi="Times New Roman" w:eastAsia="宋体" w:cs="Times New Roman"/>
                      <w:color w:val="auto"/>
                      <w:kern w:val="2"/>
                      <w:sz w:val="21"/>
                      <w:szCs w:val="21"/>
                      <w:lang w:val="en-US" w:eastAsia="zh-CN" w:bidi="ar-SA"/>
                    </w:rPr>
                  </w:pPr>
                  <w:r>
                    <w:rPr>
                      <w:color w:val="auto"/>
                      <w:szCs w:val="21"/>
                    </w:rPr>
                    <w:t>140</w:t>
                  </w:r>
                </w:p>
              </w:tc>
              <w:tc>
                <w:tcPr>
                  <w:tcW w:w="567" w:type="dxa"/>
                  <w:tcBorders>
                    <w:tl2br w:val="nil"/>
                    <w:tr2bl w:val="nil"/>
                  </w:tcBorders>
                  <w:tcMar>
                    <w:left w:w="28" w:type="dxa"/>
                    <w:right w:w="28" w:type="dxa"/>
                  </w:tcMar>
                  <w:vAlign w:val="center"/>
                </w:tcPr>
                <w:p>
                  <w:pPr>
                    <w:snapToGrid w:val="0"/>
                    <w:jc w:val="center"/>
                    <w:rPr>
                      <w:rFonts w:ascii="Times New Roman" w:hAnsi="Times New Roman" w:eastAsia="宋体" w:cs="Times New Roman"/>
                      <w:color w:val="auto"/>
                      <w:kern w:val="2"/>
                      <w:sz w:val="21"/>
                      <w:szCs w:val="21"/>
                      <w:lang w:val="en-US" w:eastAsia="zh-CN" w:bidi="ar-SA"/>
                    </w:rPr>
                  </w:pPr>
                  <w:r>
                    <w:rPr>
                      <w:color w:val="auto"/>
                      <w:szCs w:val="21"/>
                    </w:rPr>
                    <w:t>N</w:t>
                  </w:r>
                </w:p>
              </w:tc>
              <w:tc>
                <w:tcPr>
                  <w:tcW w:w="850" w:type="dxa"/>
                  <w:tcBorders>
                    <w:tl2br w:val="nil"/>
                    <w:tr2bl w:val="nil"/>
                  </w:tcBorders>
                  <w:tcMar>
                    <w:left w:w="28" w:type="dxa"/>
                    <w:right w:w="28" w:type="dxa"/>
                  </w:tcMar>
                  <w:vAlign w:val="center"/>
                </w:tcPr>
                <w:p>
                  <w:pPr>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80</w:t>
                  </w:r>
                </w:p>
              </w:tc>
              <w:tc>
                <w:tcPr>
                  <w:tcW w:w="851" w:type="dxa"/>
                  <w:vMerge w:val="continue"/>
                  <w:tcBorders>
                    <w:tl2br w:val="nil"/>
                    <w:tr2bl w:val="nil"/>
                  </w:tcBorders>
                  <w:tcMar>
                    <w:left w:w="28" w:type="dxa"/>
                    <w:right w:w="28" w:type="dxa"/>
                  </w:tcMar>
                  <w:vAlign w:val="center"/>
                </w:tcPr>
                <w:p>
                  <w:pPr>
                    <w:pStyle w:val="45"/>
                    <w:rPr>
                      <w:rFonts w:ascii="Times New Roman" w:hAnsi="Times New Roman"/>
                      <w:color w:val="auto"/>
                      <w:kern w:val="0"/>
                      <w:sz w:val="21"/>
                      <w:szCs w:val="21"/>
                      <w:lang w:eastAsia="en-US"/>
                    </w:rPr>
                  </w:pPr>
                </w:p>
              </w:tc>
              <w:tc>
                <w:tcPr>
                  <w:tcW w:w="850" w:type="dxa"/>
                  <w:vMerge w:val="continue"/>
                  <w:tcBorders>
                    <w:tl2br w:val="nil"/>
                    <w:tr2bl w:val="nil"/>
                  </w:tcBorders>
                  <w:tcMar>
                    <w:left w:w="28" w:type="dxa"/>
                    <w:right w:w="28" w:type="dxa"/>
                  </w:tcMar>
                  <w:vAlign w:val="center"/>
                </w:tcPr>
                <w:p>
                  <w:pPr>
                    <w:pStyle w:val="45"/>
                    <w:rPr>
                      <w:rFonts w:ascii="Times New Roman" w:hAnsi="Times New Roman"/>
                      <w:color w:val="auto"/>
                      <w:sz w:val="21"/>
                      <w:szCs w:val="21"/>
                    </w:rPr>
                  </w:pPr>
                </w:p>
              </w:tc>
              <w:tc>
                <w:tcPr>
                  <w:tcW w:w="1798" w:type="dxa"/>
                  <w:vMerge w:val="continue"/>
                  <w:tcBorders>
                    <w:tl2br w:val="nil"/>
                    <w:tr2bl w:val="nil"/>
                  </w:tcBorders>
                  <w:tcMar>
                    <w:left w:w="28" w:type="dxa"/>
                    <w:right w:w="28" w:type="dxa"/>
                  </w:tcMar>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5" w:type="dxa"/>
                  <w:vMerge w:val="continue"/>
                  <w:tcBorders>
                    <w:tl2br w:val="nil"/>
                    <w:tr2bl w:val="nil"/>
                  </w:tcBorders>
                  <w:vAlign w:val="center"/>
                </w:tcPr>
                <w:p>
                  <w:pPr>
                    <w:spacing w:line="360" w:lineRule="exact"/>
                    <w:jc w:val="center"/>
                    <w:rPr>
                      <w:color w:val="auto"/>
                      <w:szCs w:val="21"/>
                    </w:rPr>
                  </w:pPr>
                </w:p>
              </w:tc>
              <w:tc>
                <w:tcPr>
                  <w:tcW w:w="709" w:type="dxa"/>
                  <w:vMerge w:val="continue"/>
                  <w:tcBorders>
                    <w:tl2br w:val="nil"/>
                    <w:tr2bl w:val="nil"/>
                  </w:tcBorders>
                  <w:vAlign w:val="center"/>
                </w:tcPr>
                <w:p>
                  <w:pPr>
                    <w:spacing w:line="360" w:lineRule="exact"/>
                    <w:jc w:val="center"/>
                    <w:rPr>
                      <w:color w:val="auto"/>
                      <w:szCs w:val="21"/>
                    </w:rPr>
                  </w:pPr>
                </w:p>
              </w:tc>
              <w:tc>
                <w:tcPr>
                  <w:tcW w:w="947" w:type="dxa"/>
                  <w:tcBorders>
                    <w:tl2br w:val="nil"/>
                    <w:tr2bl w:val="nil"/>
                  </w:tcBorders>
                  <w:tcMar>
                    <w:left w:w="28" w:type="dxa"/>
                    <w:right w:w="28" w:type="dxa"/>
                  </w:tcMar>
                  <w:vAlign w:val="center"/>
                </w:tcPr>
                <w:p>
                  <w:pPr>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新生村</w:t>
                  </w:r>
                </w:p>
              </w:tc>
              <w:tc>
                <w:tcPr>
                  <w:tcW w:w="564" w:type="dxa"/>
                  <w:gridSpan w:val="2"/>
                  <w:tcBorders>
                    <w:tl2br w:val="nil"/>
                    <w:tr2bl w:val="nil"/>
                  </w:tcBorders>
                  <w:tcMar>
                    <w:left w:w="28" w:type="dxa"/>
                    <w:right w:w="28" w:type="dxa"/>
                  </w:tcMar>
                  <w:vAlign w:val="center"/>
                </w:tcPr>
                <w:p>
                  <w:pPr>
                    <w:spacing w:line="360" w:lineRule="exact"/>
                    <w:jc w:val="center"/>
                    <w:rPr>
                      <w:rFonts w:ascii="Times New Roman" w:hAnsi="Times New Roman" w:eastAsia="宋体" w:cs="Times New Roman"/>
                      <w:color w:val="auto"/>
                      <w:kern w:val="2"/>
                      <w:sz w:val="21"/>
                      <w:szCs w:val="21"/>
                      <w:lang w:val="en-US" w:eastAsia="zh-CN" w:bidi="ar-SA"/>
                    </w:rPr>
                  </w:pPr>
                  <w:r>
                    <w:rPr>
                      <w:color w:val="auto"/>
                      <w:szCs w:val="21"/>
                    </w:rPr>
                    <w:t>25</w:t>
                  </w:r>
                </w:p>
              </w:tc>
              <w:tc>
                <w:tcPr>
                  <w:tcW w:w="567" w:type="dxa"/>
                  <w:tcBorders>
                    <w:tl2br w:val="nil"/>
                    <w:tr2bl w:val="nil"/>
                  </w:tcBorders>
                  <w:tcMar>
                    <w:left w:w="28" w:type="dxa"/>
                    <w:right w:w="28" w:type="dxa"/>
                  </w:tcMar>
                  <w:vAlign w:val="center"/>
                </w:tcPr>
                <w:p>
                  <w:pPr>
                    <w:snapToGrid w:val="0"/>
                    <w:jc w:val="center"/>
                    <w:rPr>
                      <w:rFonts w:ascii="Times New Roman" w:hAnsi="Times New Roman" w:eastAsia="宋体" w:cs="Times New Roman"/>
                      <w:color w:val="auto"/>
                      <w:kern w:val="2"/>
                      <w:sz w:val="21"/>
                      <w:szCs w:val="21"/>
                      <w:lang w:val="en-US" w:eastAsia="zh-CN" w:bidi="ar-SA"/>
                    </w:rPr>
                  </w:pPr>
                  <w:r>
                    <w:rPr>
                      <w:color w:val="auto"/>
                      <w:szCs w:val="21"/>
                    </w:rPr>
                    <w:t>100</w:t>
                  </w:r>
                </w:p>
              </w:tc>
              <w:tc>
                <w:tcPr>
                  <w:tcW w:w="567" w:type="dxa"/>
                  <w:tcBorders>
                    <w:tl2br w:val="nil"/>
                    <w:tr2bl w:val="nil"/>
                  </w:tcBorders>
                  <w:tcMar>
                    <w:left w:w="28" w:type="dxa"/>
                    <w:right w:w="28" w:type="dxa"/>
                  </w:tcMar>
                  <w:vAlign w:val="center"/>
                </w:tcPr>
                <w:p>
                  <w:pPr>
                    <w:snapToGrid w:val="0"/>
                    <w:jc w:val="center"/>
                    <w:rPr>
                      <w:rFonts w:ascii="Times New Roman" w:hAnsi="Times New Roman" w:eastAsia="宋体" w:cs="Times New Roman"/>
                      <w:color w:val="auto"/>
                      <w:kern w:val="2"/>
                      <w:sz w:val="21"/>
                      <w:szCs w:val="21"/>
                      <w:lang w:val="en-US" w:eastAsia="zh-CN" w:bidi="ar-SA"/>
                    </w:rPr>
                  </w:pPr>
                  <w:r>
                    <w:rPr>
                      <w:color w:val="auto"/>
                      <w:szCs w:val="21"/>
                    </w:rPr>
                    <w:t>S/N</w:t>
                  </w:r>
                </w:p>
              </w:tc>
              <w:tc>
                <w:tcPr>
                  <w:tcW w:w="850" w:type="dxa"/>
                  <w:tcBorders>
                    <w:tl2br w:val="nil"/>
                    <w:tr2bl w:val="nil"/>
                  </w:tcBorders>
                  <w:tcMar>
                    <w:left w:w="28" w:type="dxa"/>
                    <w:right w:w="28" w:type="dxa"/>
                  </w:tcMar>
                  <w:vAlign w:val="center"/>
                </w:tcPr>
                <w:p>
                  <w:pPr>
                    <w:snapToGrid w:val="0"/>
                    <w:jc w:val="center"/>
                    <w:rPr>
                      <w:rFonts w:ascii="Times New Roman" w:hAnsi="Times New Roman" w:eastAsia="宋体" w:cs="Times New Roman"/>
                      <w:color w:val="auto"/>
                      <w:kern w:val="2"/>
                      <w:sz w:val="21"/>
                      <w:szCs w:val="21"/>
                      <w:lang w:val="en-US" w:eastAsia="zh-CN" w:bidi="ar-SA"/>
                    </w:rPr>
                  </w:pPr>
                  <w:r>
                    <w:rPr>
                      <w:color w:val="auto"/>
                      <w:szCs w:val="21"/>
                    </w:rPr>
                    <w:t>2</w:t>
                  </w:r>
                </w:p>
              </w:tc>
              <w:tc>
                <w:tcPr>
                  <w:tcW w:w="851" w:type="dxa"/>
                  <w:vMerge w:val="continue"/>
                  <w:tcBorders>
                    <w:tl2br w:val="nil"/>
                    <w:tr2bl w:val="nil"/>
                  </w:tcBorders>
                  <w:tcMar>
                    <w:left w:w="28" w:type="dxa"/>
                    <w:right w:w="28" w:type="dxa"/>
                  </w:tcMar>
                  <w:vAlign w:val="center"/>
                </w:tcPr>
                <w:p>
                  <w:pPr>
                    <w:pStyle w:val="45"/>
                    <w:rPr>
                      <w:rFonts w:ascii="Times New Roman" w:hAnsi="Times New Roman"/>
                      <w:color w:val="auto"/>
                      <w:kern w:val="0"/>
                      <w:sz w:val="21"/>
                      <w:szCs w:val="21"/>
                      <w:lang w:eastAsia="en-US"/>
                    </w:rPr>
                  </w:pPr>
                </w:p>
              </w:tc>
              <w:tc>
                <w:tcPr>
                  <w:tcW w:w="850" w:type="dxa"/>
                  <w:vMerge w:val="continue"/>
                  <w:tcBorders>
                    <w:tl2br w:val="nil"/>
                    <w:tr2bl w:val="nil"/>
                  </w:tcBorders>
                  <w:tcMar>
                    <w:left w:w="28" w:type="dxa"/>
                    <w:right w:w="28" w:type="dxa"/>
                  </w:tcMar>
                  <w:vAlign w:val="center"/>
                </w:tcPr>
                <w:p>
                  <w:pPr>
                    <w:pStyle w:val="45"/>
                    <w:rPr>
                      <w:rFonts w:ascii="Times New Roman" w:hAnsi="Times New Roman"/>
                      <w:color w:val="auto"/>
                      <w:sz w:val="21"/>
                      <w:szCs w:val="21"/>
                    </w:rPr>
                  </w:pPr>
                </w:p>
              </w:tc>
              <w:tc>
                <w:tcPr>
                  <w:tcW w:w="1798" w:type="dxa"/>
                  <w:vMerge w:val="continue"/>
                  <w:tcBorders>
                    <w:tl2br w:val="nil"/>
                    <w:tr2bl w:val="nil"/>
                  </w:tcBorders>
                  <w:tcMar>
                    <w:left w:w="28" w:type="dxa"/>
                    <w:right w:w="28" w:type="dxa"/>
                  </w:tcMar>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5" w:type="dxa"/>
                  <w:tcBorders>
                    <w:tl2br w:val="nil"/>
                    <w:tr2bl w:val="nil"/>
                  </w:tcBorders>
                  <w:vAlign w:val="center"/>
                </w:tcPr>
                <w:p>
                  <w:pPr>
                    <w:spacing w:line="360" w:lineRule="exact"/>
                    <w:jc w:val="center"/>
                    <w:rPr>
                      <w:color w:val="auto"/>
                      <w:szCs w:val="21"/>
                    </w:rPr>
                  </w:pPr>
                  <w:r>
                    <w:rPr>
                      <w:color w:val="auto"/>
                      <w:szCs w:val="21"/>
                    </w:rPr>
                    <w:t>4</w:t>
                  </w:r>
                </w:p>
              </w:tc>
              <w:tc>
                <w:tcPr>
                  <w:tcW w:w="709" w:type="dxa"/>
                  <w:tcBorders>
                    <w:tl2br w:val="nil"/>
                    <w:tr2bl w:val="nil"/>
                  </w:tcBorders>
                  <w:vAlign w:val="center"/>
                </w:tcPr>
                <w:p>
                  <w:pPr>
                    <w:pStyle w:val="45"/>
                    <w:rPr>
                      <w:rFonts w:ascii="Times New Roman" w:hAnsi="Times New Roman"/>
                      <w:color w:val="auto"/>
                      <w:sz w:val="21"/>
                      <w:szCs w:val="21"/>
                    </w:rPr>
                  </w:pPr>
                  <w:r>
                    <w:rPr>
                      <w:rFonts w:ascii="Times New Roman" w:hAnsi="Times New Roman"/>
                      <w:color w:val="auto"/>
                      <w:sz w:val="21"/>
                      <w:szCs w:val="21"/>
                      <w:lang w:eastAsia="en-US"/>
                    </w:rPr>
                    <w:t>生态</w:t>
                  </w:r>
                  <w:r>
                    <w:rPr>
                      <w:rFonts w:ascii="Times New Roman" w:hAnsi="Times New Roman"/>
                      <w:color w:val="auto"/>
                      <w:sz w:val="21"/>
                      <w:szCs w:val="21"/>
                    </w:rPr>
                    <w:t>环境</w:t>
                  </w:r>
                </w:p>
              </w:tc>
              <w:tc>
                <w:tcPr>
                  <w:tcW w:w="3495" w:type="dxa"/>
                  <w:gridSpan w:val="6"/>
                  <w:tcBorders>
                    <w:tl2br w:val="nil"/>
                    <w:tr2bl w:val="nil"/>
                  </w:tcBorders>
                  <w:tcMar>
                    <w:left w:w="28" w:type="dxa"/>
                    <w:right w:w="28" w:type="dxa"/>
                  </w:tcMar>
                  <w:vAlign w:val="center"/>
                </w:tcPr>
                <w:p>
                  <w:pPr>
                    <w:keepNext w:val="0"/>
                    <w:keepLines w:val="0"/>
                    <w:widowControl/>
                    <w:suppressLineNumbers w:val="0"/>
                    <w:jc w:val="left"/>
                    <w:rPr>
                      <w:rFonts w:ascii="Times New Roman" w:hAnsi="Times New Roman"/>
                      <w:color w:val="auto"/>
                      <w:sz w:val="21"/>
                      <w:szCs w:val="21"/>
                    </w:rPr>
                  </w:pPr>
                  <w:r>
                    <w:rPr>
                      <w:rFonts w:hint="eastAsia" w:ascii="宋体" w:hAnsi="宋体" w:eastAsia="宋体" w:cs="宋体"/>
                      <w:color w:val="auto"/>
                      <w:kern w:val="0"/>
                      <w:sz w:val="21"/>
                      <w:szCs w:val="21"/>
                      <w:lang w:val="en-US" w:eastAsia="zh-CN" w:bidi="ar"/>
                    </w:rPr>
                    <w:t>岚河湿地</w:t>
                  </w:r>
                  <w:r>
                    <w:rPr>
                      <w:rFonts w:hint="eastAsia" w:ascii="宋体" w:hAnsi="宋体" w:cs="宋体"/>
                      <w:color w:val="auto"/>
                      <w:kern w:val="0"/>
                      <w:sz w:val="21"/>
                      <w:szCs w:val="21"/>
                      <w:lang w:val="en-US" w:eastAsia="zh-CN" w:bidi="ar"/>
                    </w:rPr>
                    <w:t>和</w:t>
                  </w:r>
                  <w:r>
                    <w:rPr>
                      <w:rFonts w:ascii="Times New Roman" w:hAnsi="Times New Roman"/>
                      <w:color w:val="auto"/>
                      <w:sz w:val="21"/>
                      <w:szCs w:val="21"/>
                    </w:rPr>
                    <w:t>及其周边区域</w:t>
                  </w:r>
                </w:p>
              </w:tc>
              <w:tc>
                <w:tcPr>
                  <w:tcW w:w="851" w:type="dxa"/>
                  <w:tcBorders>
                    <w:tl2br w:val="nil"/>
                    <w:tr2bl w:val="nil"/>
                  </w:tcBorders>
                  <w:tcMar>
                    <w:left w:w="28" w:type="dxa"/>
                    <w:right w:w="28" w:type="dxa"/>
                  </w:tcMar>
                  <w:vAlign w:val="center"/>
                </w:tcPr>
                <w:p>
                  <w:pPr>
                    <w:pStyle w:val="45"/>
                    <w:rPr>
                      <w:rFonts w:ascii="Times New Roman" w:hAnsi="Times New Roman"/>
                      <w:color w:val="auto"/>
                      <w:sz w:val="21"/>
                      <w:szCs w:val="21"/>
                    </w:rPr>
                  </w:pPr>
                  <w:r>
                    <w:rPr>
                      <w:rFonts w:ascii="Times New Roman" w:hAnsi="Times New Roman"/>
                      <w:color w:val="auto"/>
                      <w:sz w:val="21"/>
                      <w:szCs w:val="21"/>
                      <w:lang w:eastAsia="en-US"/>
                    </w:rPr>
                    <w:t>生态</w:t>
                  </w:r>
                </w:p>
                <w:p>
                  <w:pPr>
                    <w:pStyle w:val="45"/>
                    <w:rPr>
                      <w:rFonts w:ascii="Times New Roman" w:hAnsi="Times New Roman"/>
                      <w:color w:val="auto"/>
                      <w:sz w:val="21"/>
                      <w:szCs w:val="21"/>
                    </w:rPr>
                  </w:pPr>
                  <w:r>
                    <w:rPr>
                      <w:rFonts w:ascii="Times New Roman" w:hAnsi="Times New Roman"/>
                      <w:color w:val="auto"/>
                      <w:sz w:val="21"/>
                      <w:szCs w:val="21"/>
                      <w:lang w:eastAsia="en-US"/>
                    </w:rPr>
                    <w:t>环境</w:t>
                  </w:r>
                </w:p>
              </w:tc>
              <w:tc>
                <w:tcPr>
                  <w:tcW w:w="850" w:type="dxa"/>
                  <w:tcBorders>
                    <w:tl2br w:val="nil"/>
                    <w:tr2bl w:val="nil"/>
                  </w:tcBorders>
                  <w:tcMar>
                    <w:left w:w="28" w:type="dxa"/>
                    <w:right w:w="28" w:type="dxa"/>
                  </w:tcMar>
                  <w:vAlign w:val="center"/>
                </w:tcPr>
                <w:p>
                  <w:pPr>
                    <w:pStyle w:val="45"/>
                    <w:rPr>
                      <w:rFonts w:ascii="Times New Roman" w:hAnsi="Times New Roman"/>
                      <w:color w:val="auto"/>
                      <w:sz w:val="21"/>
                      <w:szCs w:val="21"/>
                    </w:rPr>
                  </w:pPr>
                  <w:r>
                    <w:rPr>
                      <w:rFonts w:ascii="Times New Roman" w:hAnsi="Times New Roman"/>
                      <w:color w:val="auto"/>
                      <w:sz w:val="21"/>
                      <w:szCs w:val="21"/>
                    </w:rPr>
                    <w:t>/</w:t>
                  </w:r>
                </w:p>
              </w:tc>
              <w:tc>
                <w:tcPr>
                  <w:tcW w:w="1798" w:type="dxa"/>
                  <w:tcBorders>
                    <w:tl2br w:val="nil"/>
                    <w:tr2bl w:val="nil"/>
                  </w:tcBorders>
                  <w:tcMar>
                    <w:left w:w="28" w:type="dxa"/>
                    <w:right w:w="28" w:type="dxa"/>
                  </w:tcMar>
                  <w:vAlign w:val="center"/>
                </w:tcPr>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维持水域生态环境 </w:t>
                  </w:r>
                </w:p>
                <w:p>
                  <w:pPr>
                    <w:keepNext w:val="0"/>
                    <w:keepLines w:val="0"/>
                    <w:widowControl/>
                    <w:suppressLineNumbers w:val="0"/>
                    <w:jc w:val="left"/>
                    <w:rPr>
                      <w:color w:val="auto"/>
                      <w:szCs w:val="21"/>
                    </w:rPr>
                  </w:pPr>
                  <w:r>
                    <w:rPr>
                      <w:rFonts w:hint="eastAsia" w:ascii="宋体" w:hAnsi="宋体" w:eastAsia="宋体" w:cs="宋体"/>
                      <w:color w:val="auto"/>
                      <w:kern w:val="0"/>
                      <w:sz w:val="21"/>
                      <w:szCs w:val="21"/>
                      <w:lang w:val="en-US" w:eastAsia="zh-CN" w:bidi="ar"/>
                    </w:rPr>
                    <w:t xml:space="preserve">稳定；评价范围内原有生物的多样性和完整性 </w:t>
                  </w:r>
                </w:p>
              </w:tc>
            </w:tr>
          </w:tbl>
          <w:p>
            <w:pPr>
              <w:adjustRightInd w:val="0"/>
              <w:snapToGrid w:val="0"/>
              <w:rPr>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904" w:type="dxa"/>
            <w:vAlign w:val="center"/>
          </w:tcPr>
          <w:p>
            <w:pPr>
              <w:adjustRightInd w:val="0"/>
              <w:snapToGrid w:val="0"/>
              <w:jc w:val="center"/>
              <w:rPr>
                <w:color w:val="auto"/>
                <w:kern w:val="0"/>
                <w:szCs w:val="21"/>
              </w:rPr>
            </w:pPr>
            <w:r>
              <w:rPr>
                <w:color w:val="auto"/>
                <w:kern w:val="0"/>
                <w:szCs w:val="21"/>
              </w:rPr>
              <w:t>评价</w:t>
            </w:r>
          </w:p>
          <w:p>
            <w:pPr>
              <w:adjustRightInd w:val="0"/>
              <w:snapToGrid w:val="0"/>
              <w:jc w:val="center"/>
              <w:rPr>
                <w:color w:val="auto"/>
                <w:kern w:val="0"/>
                <w:szCs w:val="21"/>
              </w:rPr>
            </w:pPr>
            <w:r>
              <w:rPr>
                <w:color w:val="auto"/>
                <w:kern w:val="0"/>
                <w:szCs w:val="21"/>
              </w:rPr>
              <w:t>标准</w:t>
            </w:r>
          </w:p>
        </w:tc>
        <w:tc>
          <w:tcPr>
            <w:tcW w:w="8253" w:type="dxa"/>
            <w:vAlign w:val="center"/>
          </w:tcPr>
          <w:p>
            <w:pPr>
              <w:adjustRightInd w:val="0"/>
              <w:snapToGrid w:val="0"/>
              <w:spacing w:line="360" w:lineRule="auto"/>
              <w:ind w:firstLine="420" w:firstLineChars="200"/>
              <w:rPr>
                <w:color w:val="auto"/>
                <w:kern w:val="0"/>
                <w:szCs w:val="21"/>
              </w:rPr>
            </w:pPr>
            <w:r>
              <w:rPr>
                <w:color w:val="auto"/>
                <w:kern w:val="0"/>
                <w:szCs w:val="21"/>
              </w:rPr>
              <w:t>1、环境质量标准</w:t>
            </w:r>
          </w:p>
          <w:p>
            <w:pPr>
              <w:adjustRightInd w:val="0"/>
              <w:snapToGrid w:val="0"/>
              <w:spacing w:line="360" w:lineRule="auto"/>
              <w:ind w:firstLine="420" w:firstLineChars="200"/>
              <w:rPr>
                <w:color w:val="auto"/>
                <w:kern w:val="0"/>
                <w:szCs w:val="21"/>
              </w:rPr>
            </w:pPr>
            <w:r>
              <w:rPr>
                <w:color w:val="auto"/>
                <w:kern w:val="0"/>
                <w:szCs w:val="21"/>
              </w:rPr>
              <w:t>（1）环境空气质量执行《环境空气质量标准》（GB3095-2012）二级标准；</w:t>
            </w:r>
          </w:p>
          <w:p>
            <w:pPr>
              <w:adjustRightInd w:val="0"/>
              <w:snapToGrid w:val="0"/>
              <w:spacing w:line="360" w:lineRule="auto"/>
              <w:ind w:firstLine="420" w:firstLineChars="200"/>
              <w:rPr>
                <w:color w:val="auto"/>
                <w:kern w:val="0"/>
                <w:szCs w:val="21"/>
              </w:rPr>
            </w:pPr>
            <w:r>
              <w:rPr>
                <w:color w:val="auto"/>
                <w:kern w:val="0"/>
                <w:szCs w:val="21"/>
              </w:rPr>
              <w:t>（2）地表水执行《地表水环境质量标准》（GB3838-2002）</w:t>
            </w:r>
            <w:r>
              <w:rPr>
                <w:rFonts w:hint="eastAsia" w:ascii="宋体" w:hAnsi="宋体" w:eastAsia="宋体" w:cs="宋体"/>
                <w:color w:val="auto"/>
                <w:szCs w:val="21"/>
              </w:rPr>
              <w:t>Ⅱ</w:t>
            </w:r>
            <w:r>
              <w:rPr>
                <w:color w:val="auto"/>
                <w:kern w:val="0"/>
                <w:szCs w:val="21"/>
              </w:rPr>
              <w:t>类标准；</w:t>
            </w:r>
          </w:p>
          <w:p>
            <w:pPr>
              <w:adjustRightInd w:val="0"/>
              <w:snapToGrid w:val="0"/>
              <w:spacing w:line="360" w:lineRule="auto"/>
              <w:ind w:firstLine="420" w:firstLineChars="200"/>
              <w:rPr>
                <w:color w:val="auto"/>
                <w:kern w:val="0"/>
                <w:szCs w:val="21"/>
              </w:rPr>
            </w:pPr>
            <w:r>
              <w:rPr>
                <w:color w:val="auto"/>
                <w:kern w:val="0"/>
                <w:szCs w:val="21"/>
              </w:rPr>
              <w:t>（3）声环境，道路边界线35m范围内声环境执行《声环境质量标准》（GB3096-2008）4a类标准，其他执行《声环境质量标准》（GB3096-2008）2类标准；</w:t>
            </w:r>
          </w:p>
          <w:p>
            <w:pPr>
              <w:adjustRightInd w:val="0"/>
              <w:snapToGrid w:val="0"/>
              <w:spacing w:line="360" w:lineRule="auto"/>
              <w:ind w:firstLine="420" w:firstLineChars="200"/>
              <w:rPr>
                <w:color w:val="auto"/>
                <w:kern w:val="0"/>
                <w:szCs w:val="21"/>
              </w:rPr>
            </w:pPr>
            <w:r>
              <w:rPr>
                <w:color w:val="auto"/>
                <w:kern w:val="0"/>
                <w:szCs w:val="21"/>
              </w:rPr>
              <w:t>2、污染物排放标准</w:t>
            </w:r>
          </w:p>
          <w:p>
            <w:pPr>
              <w:adjustRightInd w:val="0"/>
              <w:snapToGrid w:val="0"/>
              <w:spacing w:line="360" w:lineRule="auto"/>
              <w:ind w:firstLine="420" w:firstLineChars="200"/>
              <w:rPr>
                <w:color w:val="auto"/>
                <w:kern w:val="0"/>
                <w:szCs w:val="21"/>
              </w:rPr>
            </w:pPr>
            <w:r>
              <w:rPr>
                <w:color w:val="auto"/>
                <w:kern w:val="0"/>
                <w:szCs w:val="21"/>
              </w:rPr>
              <w:t>（1）施工期大气污染物执行《施工场界扬尘排放限值》（DB61/1078-2017）中相关浓度限值要求；</w:t>
            </w:r>
          </w:p>
          <w:p>
            <w:pPr>
              <w:adjustRightInd w:val="0"/>
              <w:snapToGrid w:val="0"/>
              <w:spacing w:line="360" w:lineRule="auto"/>
              <w:ind w:firstLine="420" w:firstLineChars="200"/>
              <w:rPr>
                <w:color w:val="auto"/>
                <w:kern w:val="0"/>
                <w:szCs w:val="21"/>
              </w:rPr>
            </w:pPr>
            <w:r>
              <w:rPr>
                <w:color w:val="auto"/>
                <w:kern w:val="0"/>
                <w:szCs w:val="21"/>
              </w:rPr>
              <w:t>（2）本项目废水综合利用，不外排；</w:t>
            </w:r>
          </w:p>
          <w:p>
            <w:pPr>
              <w:adjustRightInd w:val="0"/>
              <w:snapToGrid w:val="0"/>
              <w:spacing w:line="360" w:lineRule="auto"/>
              <w:ind w:firstLine="420" w:firstLineChars="200"/>
              <w:rPr>
                <w:color w:val="auto"/>
                <w:kern w:val="0"/>
                <w:szCs w:val="21"/>
              </w:rPr>
            </w:pPr>
            <w:r>
              <w:rPr>
                <w:color w:val="auto"/>
                <w:kern w:val="0"/>
                <w:szCs w:val="21"/>
              </w:rPr>
              <w:t>（3）施工期噪声评价执行《建筑施工厂界环境噪声排放标准》（GB12523-2011）；</w:t>
            </w:r>
          </w:p>
          <w:p>
            <w:pPr>
              <w:adjustRightInd w:val="0"/>
              <w:snapToGrid w:val="0"/>
              <w:spacing w:line="360" w:lineRule="auto"/>
              <w:ind w:firstLine="420" w:firstLineChars="200"/>
              <w:rPr>
                <w:color w:val="auto"/>
                <w:kern w:val="0"/>
                <w:szCs w:val="21"/>
              </w:rPr>
            </w:pPr>
            <w:r>
              <w:rPr>
                <w:color w:val="auto"/>
                <w:kern w:val="0"/>
                <w:szCs w:val="21"/>
              </w:rPr>
              <w:t>（4）一般工业固体废物贮存、处置执行《一般工业固体废物贮存、处置场污染控制标准》（GB18599-2020）及其修改单中的相关规定。</w:t>
            </w:r>
          </w:p>
          <w:p>
            <w:pPr>
              <w:adjustRightInd w:val="0"/>
              <w:snapToGrid w:val="0"/>
              <w:ind w:firstLine="420" w:firstLineChars="200"/>
              <w:rPr>
                <w:color w:val="auto"/>
                <w:kern w:val="0"/>
                <w:szCs w:val="21"/>
              </w:rPr>
            </w:pPr>
            <w:r>
              <w:rPr>
                <w:color w:val="auto"/>
                <w:kern w:val="0"/>
                <w:szCs w:val="21"/>
              </w:rPr>
              <w:t>（5）其他按有关规定标准执行。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04" w:type="dxa"/>
            <w:vAlign w:val="center"/>
          </w:tcPr>
          <w:p>
            <w:pPr>
              <w:adjustRightInd w:val="0"/>
              <w:snapToGrid w:val="0"/>
              <w:jc w:val="center"/>
              <w:rPr>
                <w:color w:val="auto"/>
                <w:kern w:val="0"/>
                <w:szCs w:val="21"/>
              </w:rPr>
            </w:pPr>
            <w:r>
              <w:rPr>
                <w:color w:val="auto"/>
                <w:kern w:val="0"/>
                <w:szCs w:val="21"/>
              </w:rPr>
              <w:t>其他</w:t>
            </w:r>
          </w:p>
        </w:tc>
        <w:tc>
          <w:tcPr>
            <w:tcW w:w="8253" w:type="dxa"/>
            <w:vAlign w:val="center"/>
          </w:tcPr>
          <w:p>
            <w:pPr>
              <w:adjustRightInd w:val="0"/>
              <w:snapToGrid w:val="0"/>
              <w:spacing w:line="360" w:lineRule="auto"/>
              <w:ind w:firstLine="420" w:firstLineChars="200"/>
              <w:rPr>
                <w:color w:val="auto"/>
                <w:kern w:val="0"/>
                <w:szCs w:val="21"/>
              </w:rPr>
            </w:pPr>
            <w:r>
              <w:rPr>
                <w:rFonts w:hint="eastAsia"/>
                <w:color w:val="auto"/>
                <w:kern w:val="0"/>
                <w:szCs w:val="21"/>
                <w:lang w:val="en-US" w:eastAsia="zh-CN"/>
              </w:rPr>
              <w:t>本项目为非生产性建设项目，营运期无污染物产生，故建设项目无须申请总量控制指标。</w:t>
            </w:r>
          </w:p>
        </w:tc>
      </w:tr>
    </w:tbl>
    <w:p>
      <w:pPr>
        <w:pStyle w:val="15"/>
        <w:adjustRightInd w:val="0"/>
        <w:snapToGrid w:val="0"/>
        <w:spacing w:before="0" w:beforeAutospacing="0" w:after="0" w:afterAutospacing="0" w:line="14" w:lineRule="auto"/>
        <w:jc w:val="center"/>
        <w:outlineLvl w:val="0"/>
        <w:rPr>
          <w:rFonts w:ascii="Times New Roman" w:hAnsi="Times New Roman" w:eastAsia="黑体"/>
          <w:snapToGrid w:val="0"/>
          <w:color w:val="auto"/>
          <w:kern w:val="2"/>
          <w:sz w:val="36"/>
          <w:szCs w:val="36"/>
        </w:rPr>
      </w:pPr>
    </w:p>
    <w:p>
      <w:pPr>
        <w:pStyle w:val="15"/>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kern w:val="2"/>
          <w:sz w:val="36"/>
          <w:szCs w:val="36"/>
        </w:rPr>
        <w:br w:type="page"/>
      </w:r>
      <w:r>
        <w:rPr>
          <w:rFonts w:ascii="Times New Roman" w:hAnsi="Times New Roman" w:eastAsia="黑体"/>
          <w:snapToGrid w:val="0"/>
          <w:color w:val="auto"/>
          <w:sz w:val="30"/>
          <w:szCs w:val="30"/>
        </w:rPr>
        <w:t>四、生态环境影响分析</w:t>
      </w:r>
    </w:p>
    <w:tbl>
      <w:tblPr>
        <w:tblStyle w:val="18"/>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3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6" w:hRule="atLeast"/>
          <w:jc w:val="center"/>
        </w:trPr>
        <w:tc>
          <w:tcPr>
            <w:tcW w:w="879" w:type="dxa"/>
            <w:tcMar>
              <w:left w:w="28" w:type="dxa"/>
              <w:right w:w="28" w:type="dxa"/>
            </w:tcMar>
            <w:vAlign w:val="center"/>
          </w:tcPr>
          <w:p>
            <w:pPr>
              <w:pStyle w:val="15"/>
              <w:adjustRightInd w:val="0"/>
              <w:snapToGrid w:val="0"/>
              <w:spacing w:before="0" w:beforeAutospacing="0" w:after="0" w:afterAutospacing="0"/>
              <w:jc w:val="center"/>
              <w:rPr>
                <w:rFonts w:ascii="Times New Roman" w:hAnsi="Times New Roman"/>
                <w:bCs/>
                <w:color w:val="auto"/>
                <w:kern w:val="2"/>
                <w:sz w:val="21"/>
                <w:szCs w:val="21"/>
              </w:rPr>
            </w:pPr>
            <w:bookmarkStart w:id="11" w:name="_Hlk49796138"/>
            <w:r>
              <w:rPr>
                <w:rFonts w:ascii="Times New Roman" w:hAnsi="Times New Roman"/>
                <w:bCs/>
                <w:color w:val="auto"/>
                <w:spacing w:val="10"/>
                <w:kern w:val="2"/>
                <w:sz w:val="21"/>
                <w:szCs w:val="21"/>
              </w:rPr>
              <w:t>施工期生态环境影响分析</w:t>
            </w:r>
            <w:bookmarkEnd w:id="11"/>
          </w:p>
        </w:tc>
        <w:tc>
          <w:tcPr>
            <w:tcW w:w="8363" w:type="dxa"/>
          </w:tcPr>
          <w:p>
            <w:pPr>
              <w:spacing w:line="360" w:lineRule="auto"/>
              <w:jc w:val="left"/>
              <w:outlineLvl w:val="1"/>
              <w:rPr>
                <w:b/>
                <w:bCs/>
                <w:color w:val="auto"/>
              </w:rPr>
            </w:pPr>
            <w:r>
              <w:rPr>
                <w:b/>
                <w:bCs/>
                <w:color w:val="auto"/>
              </w:rPr>
              <w:t>一、生态环境影响分析</w:t>
            </w:r>
          </w:p>
          <w:p>
            <w:pPr>
              <w:spacing w:line="360" w:lineRule="auto"/>
              <w:ind w:firstLine="420" w:firstLineChars="200"/>
              <w:jc w:val="left"/>
              <w:outlineLvl w:val="1"/>
              <w:rPr>
                <w:rFonts w:hint="eastAsia"/>
                <w:color w:val="auto"/>
                <w:lang w:val="en-US" w:eastAsia="zh-CN"/>
              </w:rPr>
            </w:pPr>
            <w:r>
              <w:rPr>
                <w:rFonts w:hint="eastAsia"/>
                <w:color w:val="auto"/>
                <w:lang w:val="en-US" w:eastAsia="zh-CN"/>
              </w:rPr>
              <w:t>项目施工过程中对生态环境的影响主要表现为工程占地对陆生植被生物及对河流水生生态环境的影响。</w:t>
            </w:r>
          </w:p>
          <w:p>
            <w:pPr>
              <w:spacing w:line="360" w:lineRule="auto"/>
              <w:ind w:firstLine="420" w:firstLineChars="200"/>
              <w:jc w:val="left"/>
              <w:outlineLvl w:val="1"/>
              <w:rPr>
                <w:rFonts w:hint="eastAsia"/>
                <w:color w:val="auto"/>
                <w:lang w:val="en-US" w:eastAsia="zh-CN"/>
              </w:rPr>
            </w:pPr>
            <w:r>
              <w:rPr>
                <w:rFonts w:hint="eastAsia"/>
                <w:color w:val="auto"/>
                <w:lang w:val="en-US" w:eastAsia="zh-CN"/>
              </w:rPr>
              <w:t>1、土地利用影响分析</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1"/>
              <w:rPr>
                <w:rFonts w:hint="eastAsia"/>
                <w:color w:val="auto"/>
                <w:lang w:val="en-US" w:eastAsia="zh-CN"/>
              </w:rPr>
            </w:pPr>
            <w:r>
              <w:rPr>
                <w:rFonts w:hint="eastAsia"/>
                <w:color w:val="auto"/>
                <w:lang w:val="en-US" w:eastAsia="zh-CN"/>
              </w:rPr>
              <w:t xml:space="preserve">工程占地包括永久占地和临时占地两种类型，永久占地主要是堤防占地，占地面积为 </w:t>
            </w:r>
            <w:r>
              <w:rPr>
                <w:rFonts w:hint="eastAsia"/>
                <w:color w:val="auto"/>
                <w:kern w:val="0"/>
                <w:szCs w:val="21"/>
                <w:lang w:val="en-US" w:eastAsia="zh-CN"/>
              </w:rPr>
              <w:t>0.62</w:t>
            </w:r>
            <w:r>
              <w:rPr>
                <w:rFonts w:hint="default"/>
                <w:color w:val="auto"/>
                <w:kern w:val="0"/>
                <w:szCs w:val="21"/>
                <w:lang w:val="en-US" w:eastAsia="zh-CN"/>
              </w:rPr>
              <w:t>hm</w:t>
            </w:r>
            <w:r>
              <w:rPr>
                <w:rFonts w:hint="default"/>
                <w:color w:val="auto"/>
                <w:kern w:val="0"/>
                <w:szCs w:val="21"/>
                <w:vertAlign w:val="superscript"/>
                <w:lang w:val="en-US" w:eastAsia="zh-CN"/>
              </w:rPr>
              <w:t>2</w:t>
            </w:r>
            <w:r>
              <w:rPr>
                <w:rFonts w:hint="eastAsia"/>
                <w:color w:val="auto"/>
                <w:lang w:val="en-US" w:eastAsia="zh-CN"/>
              </w:rPr>
              <w:t>；临时占地包括临时施工营地、临时堆土场、临时仓库等，总占地面积为</w:t>
            </w:r>
            <w:r>
              <w:rPr>
                <w:rFonts w:hint="eastAsia"/>
                <w:color w:val="auto"/>
                <w:kern w:val="0"/>
                <w:szCs w:val="21"/>
                <w:lang w:val="en-US" w:eastAsia="zh-CN"/>
              </w:rPr>
              <w:t>2.52</w:t>
            </w:r>
            <w:r>
              <w:rPr>
                <w:rFonts w:hint="default"/>
                <w:color w:val="auto"/>
                <w:kern w:val="0"/>
                <w:szCs w:val="21"/>
                <w:lang w:val="en-US" w:eastAsia="zh-CN"/>
              </w:rPr>
              <w:t>hm</w:t>
            </w:r>
            <w:r>
              <w:rPr>
                <w:rFonts w:hint="default"/>
                <w:color w:val="auto"/>
                <w:kern w:val="0"/>
                <w:szCs w:val="21"/>
                <w:vertAlign w:val="superscript"/>
                <w:lang w:val="en-US" w:eastAsia="zh-CN"/>
              </w:rPr>
              <w:t>2</w:t>
            </w:r>
            <w:r>
              <w:rPr>
                <w:rFonts w:hint="eastAsia"/>
                <w:color w:val="auto"/>
                <w:lang w:val="en-US" w:eastAsia="zh-CN"/>
              </w:rPr>
              <w:t xml:space="preserve">。 </w:t>
            </w:r>
          </w:p>
          <w:p>
            <w:pPr>
              <w:spacing w:line="360" w:lineRule="auto"/>
              <w:ind w:firstLine="420" w:firstLineChars="200"/>
              <w:jc w:val="left"/>
              <w:outlineLvl w:val="1"/>
              <w:rPr>
                <w:rFonts w:hint="default"/>
                <w:color w:val="auto"/>
                <w:lang w:val="en-US" w:eastAsia="zh-CN"/>
              </w:rPr>
            </w:pPr>
            <w:r>
              <w:rPr>
                <w:rFonts w:hint="eastAsia"/>
                <w:color w:val="auto"/>
                <w:lang w:val="en-US" w:eastAsia="zh-CN"/>
              </w:rPr>
              <w:t>永久占地要求按照《土地管理法》等相关法律法规采取占用补偿措施，达到土地利用的占补平衡；施工结束后通过坡面绿化和水保措施、土地复垦措施，在河滩、堤防及堤顶重新营造绿化防护植被，可恢复堤防、岸坡的部分植被。因此工程对土地利用影响不大。</w:t>
            </w:r>
          </w:p>
          <w:p>
            <w:pPr>
              <w:spacing w:line="360" w:lineRule="auto"/>
              <w:ind w:firstLine="420" w:firstLineChars="200"/>
              <w:jc w:val="left"/>
              <w:outlineLvl w:val="1"/>
              <w:rPr>
                <w:rFonts w:hint="eastAsia"/>
                <w:color w:val="auto"/>
                <w:lang w:val="en-US" w:eastAsia="zh-CN"/>
              </w:rPr>
            </w:pPr>
            <w:r>
              <w:rPr>
                <w:rFonts w:hint="eastAsia"/>
                <w:color w:val="auto"/>
                <w:lang w:val="en-US" w:eastAsia="zh-CN"/>
              </w:rPr>
              <w:t xml:space="preserve">2、对植被的影响 </w:t>
            </w:r>
          </w:p>
          <w:p>
            <w:pPr>
              <w:spacing w:line="360" w:lineRule="auto"/>
              <w:ind w:firstLine="420" w:firstLineChars="200"/>
              <w:jc w:val="left"/>
              <w:outlineLvl w:val="1"/>
              <w:rPr>
                <w:color w:val="auto"/>
              </w:rPr>
            </w:pPr>
            <w:r>
              <w:rPr>
                <w:rFonts w:hint="eastAsia"/>
                <w:color w:val="auto"/>
                <w:lang w:val="en-US" w:eastAsia="zh-CN"/>
              </w:rPr>
              <w:t>工程占地对陆生植被的影响主要表现在施工过程中，工程沿线植物的地上部分与根系均被清除，施工带两侧临时用地的植被由于挖掘土石的堆放、人员的践踏、施工车辆和机具的碾压而造成破坏。另外施工带附近的植物，还会由于施工人员的采摘等活动而受到不同程度的影响。在工程施工结束后及时进行平整、复垦，可以恢复原貌，故工程施工期对植被影响较小。</w:t>
            </w:r>
          </w:p>
          <w:p>
            <w:pPr>
              <w:spacing w:line="360" w:lineRule="auto"/>
              <w:ind w:firstLine="420" w:firstLineChars="200"/>
              <w:jc w:val="left"/>
              <w:rPr>
                <w:color w:val="auto"/>
              </w:rPr>
            </w:pPr>
            <w:r>
              <w:rPr>
                <w:color w:val="auto"/>
              </w:rPr>
              <w:t>4、对动物影响分析</w:t>
            </w:r>
          </w:p>
          <w:p>
            <w:pPr>
              <w:spacing w:line="360" w:lineRule="auto"/>
              <w:ind w:firstLine="420" w:firstLineChars="200"/>
              <w:jc w:val="left"/>
              <w:outlineLvl w:val="1"/>
              <w:rPr>
                <w:rFonts w:hint="eastAsia"/>
                <w:color w:val="auto"/>
                <w:lang w:val="en-US" w:eastAsia="zh-CN"/>
              </w:rPr>
            </w:pPr>
            <w:r>
              <w:rPr>
                <w:rFonts w:hint="eastAsia"/>
                <w:color w:val="auto"/>
                <w:lang w:val="en-US" w:eastAsia="zh-CN"/>
              </w:rPr>
              <w:t xml:space="preserve">（1）对陆生动物的影响 </w:t>
            </w:r>
          </w:p>
          <w:p>
            <w:pPr>
              <w:spacing w:line="360" w:lineRule="auto"/>
              <w:ind w:firstLine="420" w:firstLineChars="200"/>
              <w:jc w:val="left"/>
              <w:outlineLvl w:val="1"/>
              <w:rPr>
                <w:rFonts w:hint="eastAsia"/>
                <w:color w:val="auto"/>
                <w:lang w:val="en-US" w:eastAsia="zh-CN"/>
              </w:rPr>
            </w:pPr>
            <w:r>
              <w:rPr>
                <w:rFonts w:hint="eastAsia"/>
                <w:color w:val="auto"/>
                <w:lang w:val="en-US" w:eastAsia="zh-CN"/>
              </w:rPr>
              <w:t>根据现场调查，评价区靠近城镇村落，人为活动较频繁，未发现大型野生动物，现有野生动物多为小型兽类、爬行类及两栖类。评价区内存在一定数量的鸟类，在河道中栖息的游禽和涉禽受到较大影响。</w:t>
            </w:r>
          </w:p>
          <w:p>
            <w:pPr>
              <w:spacing w:line="360" w:lineRule="auto"/>
              <w:ind w:firstLine="420" w:firstLineChars="200"/>
              <w:jc w:val="left"/>
              <w:outlineLvl w:val="1"/>
              <w:rPr>
                <w:rFonts w:hint="eastAsia"/>
                <w:color w:val="auto"/>
                <w:lang w:val="en-US" w:eastAsia="zh-CN"/>
              </w:rPr>
            </w:pPr>
            <w:r>
              <w:rPr>
                <w:rFonts w:hint="default"/>
                <w:color w:val="auto"/>
                <w:lang w:val="en-US" w:eastAsia="zh-CN"/>
              </w:rPr>
              <w:t>A.</w:t>
            </w:r>
            <w:r>
              <w:rPr>
                <w:rFonts w:hint="eastAsia"/>
                <w:color w:val="auto"/>
                <w:lang w:val="en-US" w:eastAsia="zh-CN"/>
              </w:rPr>
              <w:t>对一般野生动物的影响</w:t>
            </w:r>
          </w:p>
          <w:p>
            <w:pPr>
              <w:spacing w:line="360" w:lineRule="auto"/>
              <w:ind w:firstLine="420" w:firstLineChars="200"/>
              <w:jc w:val="left"/>
              <w:outlineLvl w:val="1"/>
              <w:rPr>
                <w:rFonts w:hint="eastAsia"/>
                <w:color w:val="auto"/>
                <w:lang w:val="en-US" w:eastAsia="zh-CN"/>
              </w:rPr>
            </w:pPr>
            <w:r>
              <w:rPr>
                <w:rFonts w:hint="eastAsia"/>
                <w:color w:val="auto"/>
                <w:lang w:val="en-US" w:eastAsia="zh-CN"/>
              </w:rPr>
              <w:t>施工期对野生动物的影响主要为随着工程的开工，施工机械、施工人员陆续进场，施工占地和施工噪声等将破坏和改变局部原有野生动物的生存、栖息环境，使上述区域的动物被迫暂时迁移到适宜的环境中去栖息和繁衍。</w:t>
            </w:r>
          </w:p>
          <w:p>
            <w:pPr>
              <w:spacing w:line="360" w:lineRule="auto"/>
              <w:ind w:firstLine="420" w:firstLineChars="200"/>
              <w:jc w:val="left"/>
              <w:outlineLvl w:val="1"/>
              <w:rPr>
                <w:rFonts w:hint="eastAsia"/>
                <w:color w:val="auto"/>
                <w:lang w:val="en-US" w:eastAsia="zh-CN"/>
              </w:rPr>
            </w:pPr>
            <w:r>
              <w:rPr>
                <w:rFonts w:hint="default"/>
                <w:color w:val="auto"/>
                <w:lang w:val="en-US" w:eastAsia="zh-CN"/>
              </w:rPr>
              <w:t>B.</w:t>
            </w:r>
            <w:r>
              <w:rPr>
                <w:rFonts w:hint="eastAsia"/>
                <w:color w:val="auto"/>
                <w:lang w:val="en-US" w:eastAsia="zh-CN"/>
              </w:rPr>
              <w:t xml:space="preserve">对爬行动物影响分析 </w:t>
            </w:r>
          </w:p>
          <w:p>
            <w:pPr>
              <w:spacing w:line="360" w:lineRule="auto"/>
              <w:ind w:firstLine="420" w:firstLineChars="200"/>
              <w:jc w:val="left"/>
              <w:outlineLvl w:val="1"/>
              <w:rPr>
                <w:rFonts w:hint="eastAsia"/>
                <w:color w:val="auto"/>
                <w:lang w:val="en-US" w:eastAsia="zh-CN"/>
              </w:rPr>
            </w:pPr>
            <w:r>
              <w:rPr>
                <w:rFonts w:hint="eastAsia"/>
                <w:color w:val="auto"/>
                <w:lang w:val="en-US" w:eastAsia="zh-CN"/>
              </w:rPr>
              <w:t>施工期施工机械、车辆产生的噪声及施工人员人为活动的干扰，可能导致施工区域附近的两栖爬行类动物产生回避行为，使其向外围转移迁徙到工程影响区外的相似生境内。项目所在区域爬行动物较少，且由于爬行动物具有较强的运动迁徙能力，对外界环境的适应能力较强，能够比较容易找到新的栖息场所，因此，项目建设对爬行动物影响较小。</w:t>
            </w:r>
          </w:p>
          <w:p>
            <w:pPr>
              <w:spacing w:line="360" w:lineRule="auto"/>
              <w:ind w:firstLine="420" w:firstLineChars="200"/>
              <w:jc w:val="left"/>
              <w:outlineLvl w:val="1"/>
              <w:rPr>
                <w:rFonts w:hint="eastAsia"/>
                <w:color w:val="auto"/>
                <w:lang w:val="en-US" w:eastAsia="zh-CN"/>
              </w:rPr>
            </w:pPr>
            <w:r>
              <w:rPr>
                <w:rFonts w:hint="default"/>
                <w:color w:val="auto"/>
                <w:lang w:val="en-US" w:eastAsia="zh-CN"/>
              </w:rPr>
              <w:t>C.</w:t>
            </w:r>
            <w:r>
              <w:rPr>
                <w:rFonts w:hint="eastAsia"/>
                <w:color w:val="auto"/>
                <w:lang w:val="en-US" w:eastAsia="zh-CN"/>
              </w:rPr>
              <w:t>对兽类影响分析</w:t>
            </w:r>
          </w:p>
          <w:p>
            <w:pPr>
              <w:spacing w:line="360" w:lineRule="auto"/>
              <w:ind w:firstLine="420" w:firstLineChars="200"/>
              <w:jc w:val="left"/>
              <w:outlineLvl w:val="1"/>
              <w:rPr>
                <w:rFonts w:hint="eastAsia"/>
                <w:color w:val="auto"/>
                <w:lang w:val="en-US" w:eastAsia="zh-CN"/>
              </w:rPr>
            </w:pPr>
            <w:r>
              <w:rPr>
                <w:rFonts w:hint="eastAsia"/>
                <w:color w:val="auto"/>
                <w:lang w:val="en-US" w:eastAsia="zh-CN"/>
              </w:rPr>
              <w:t>施工期对兽类的影响主要体现在对动物栖息觅食地所在生态环境的破坏，包括对施工区域评植被的破坏和林木的砍伐，施工噪声，各种施工人员以及施工机械的干扰等，使施工区及其周边环境发生改变。项目建设区人为活动频繁，区内大型兽类分布较少，受影响的主要是鼠类、草兔等啮齿类动物为主，将迁移至附近受干扰小的区域。同时由于项目施工影响范围较小且影响时间较短，施工结束后，生态环境逐渐恢复，这种影响可大大缓解。</w:t>
            </w:r>
          </w:p>
          <w:p>
            <w:pPr>
              <w:spacing w:line="360" w:lineRule="auto"/>
              <w:ind w:firstLine="420" w:firstLineChars="200"/>
              <w:jc w:val="left"/>
              <w:outlineLvl w:val="1"/>
              <w:rPr>
                <w:rFonts w:hint="eastAsia"/>
                <w:color w:val="auto"/>
                <w:lang w:val="en-US" w:eastAsia="zh-CN"/>
              </w:rPr>
            </w:pPr>
            <w:r>
              <w:rPr>
                <w:rFonts w:hint="default"/>
                <w:color w:val="auto"/>
                <w:lang w:val="en-US" w:eastAsia="zh-CN"/>
              </w:rPr>
              <w:t>D.</w:t>
            </w:r>
            <w:r>
              <w:rPr>
                <w:rFonts w:hint="eastAsia"/>
                <w:color w:val="auto"/>
                <w:lang w:val="en-US" w:eastAsia="zh-CN"/>
              </w:rPr>
              <w:t>对鸟类影响分析</w:t>
            </w:r>
          </w:p>
          <w:p>
            <w:pPr>
              <w:spacing w:line="360" w:lineRule="auto"/>
              <w:ind w:firstLine="420" w:firstLineChars="200"/>
              <w:jc w:val="left"/>
              <w:outlineLvl w:val="1"/>
              <w:rPr>
                <w:rFonts w:hint="eastAsia"/>
                <w:color w:val="auto"/>
                <w:lang w:val="en-US" w:eastAsia="zh-CN"/>
              </w:rPr>
            </w:pPr>
            <w:r>
              <w:rPr>
                <w:rFonts w:hint="eastAsia"/>
                <w:color w:val="auto"/>
                <w:lang w:val="en-US" w:eastAsia="zh-CN"/>
              </w:rPr>
              <w:t xml:space="preserve">项目对当地鸟类种群的影响主要是机械噪声和人为活动干扰，对鸟类的不利影响主要表现在破坏部分鸟类的觅食环境。项目建设过程中会对项目建设区的鸟类类群的栖息地形成噪音、扬尘污染等短时间的干扰，噪声的影响主要在场地建设区及其周边邻近地区，建设中机械噪声、人为活动等因素将引起项目建设区内鸟类等野生动物觅食栖息地暂时性、季节性局域破碎化，但不会引起生物多样性降低或物种消失，这种不利影响是有时间限制的。随着施工破坏的生态植被逐渐恢复，人为活动的减少，该区域内鸟类的种类、数量和分布也将重新达到一种新的平衡状态，新的分布格局将重新形成，它们仍可以回到原来领域，继续生活，对其生存不会造成长期的、不可逆的不利影响。 </w:t>
            </w:r>
          </w:p>
          <w:p>
            <w:pPr>
              <w:spacing w:line="360" w:lineRule="auto"/>
              <w:ind w:firstLine="420" w:firstLineChars="200"/>
              <w:jc w:val="left"/>
              <w:outlineLvl w:val="1"/>
              <w:rPr>
                <w:rFonts w:hint="eastAsia"/>
                <w:color w:val="auto"/>
                <w:lang w:val="en-US" w:eastAsia="zh-CN"/>
              </w:rPr>
            </w:pPr>
            <w:r>
              <w:rPr>
                <w:rFonts w:hint="eastAsia"/>
                <w:color w:val="auto"/>
                <w:lang w:val="en-US" w:eastAsia="zh-CN"/>
              </w:rPr>
              <w:t>评价区野生动物种类贫乏，没有大型野生哺乳动物，现有的野生动物多为一些常见的啮齿类及昆虫，鸟类也较为常见。施工期由于栖息地受到破坏，造成动物外迁，种类、数量减少。项目完工后，随着植被的逐渐恢复，部分迁走的动物将返回，因而与项目建设前相比，陆生动物生物量基本不变；随着河道内护坡工程建成，两栖爬行类活动范围增加，有利于这些动物的栖息和觅食，对种群的繁衍起到促进作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eastAsia"/>
                <w:color w:val="auto"/>
                <w:sz w:val="21"/>
                <w:szCs w:val="21"/>
                <w:lang w:val="en-US" w:eastAsia="zh-CN"/>
              </w:rPr>
              <w:t>（2）</w:t>
            </w:r>
            <w:r>
              <w:rPr>
                <w:rFonts w:hint="eastAsia" w:ascii="宋体" w:hAnsi="宋体" w:eastAsia="宋体" w:cs="宋体"/>
                <w:color w:val="auto"/>
                <w:kern w:val="0"/>
                <w:sz w:val="21"/>
                <w:szCs w:val="21"/>
                <w:lang w:val="en-US" w:eastAsia="zh-CN" w:bidi="ar"/>
              </w:rPr>
              <w:t>对水生生物的影响</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1"/>
              <w:rPr>
                <w:rFonts w:hint="eastAsia"/>
                <w:color w:val="auto"/>
                <w:lang w:val="en-US" w:eastAsia="zh-CN"/>
              </w:rPr>
            </w:pPr>
            <w:r>
              <w:rPr>
                <w:rFonts w:hint="default"/>
                <w:color w:val="auto"/>
                <w:lang w:val="en-US" w:eastAsia="zh-CN"/>
              </w:rPr>
              <w:t>A.</w:t>
            </w:r>
            <w:r>
              <w:rPr>
                <w:rFonts w:hint="eastAsia"/>
                <w:color w:val="auto"/>
                <w:lang w:val="en-US" w:eastAsia="zh-CN"/>
              </w:rPr>
              <w:t>对浮游生物的影响</w:t>
            </w:r>
          </w:p>
          <w:p>
            <w:pPr>
              <w:spacing w:line="360" w:lineRule="auto"/>
              <w:ind w:firstLine="420" w:firstLineChars="200"/>
              <w:jc w:val="left"/>
              <w:outlineLvl w:val="1"/>
              <w:rPr>
                <w:rFonts w:hint="eastAsia"/>
                <w:color w:val="auto"/>
                <w:lang w:val="en-US" w:eastAsia="zh-CN"/>
              </w:rPr>
            </w:pPr>
            <w:r>
              <w:rPr>
                <w:rFonts w:hint="eastAsia"/>
                <w:color w:val="auto"/>
                <w:lang w:val="en-US" w:eastAsia="zh-CN"/>
              </w:rPr>
              <w:t>施工导流等产生的废水和泥沙，如不采取措施直接排放，会导致施工河段水体透明度及溶解氧降低，导致区域内浮游生物种类发生变化。此外，施工期产生的生产废水、生活垃圾及施工材料临时堆放，如遇到下雨或保管不善，将对水体造成污染，导致水体浑浊，改变水的酸碱度，破坏浮游生物的生长环境，对浮游生物的种类、数量等产生影响。</w:t>
            </w:r>
          </w:p>
          <w:p>
            <w:pPr>
              <w:spacing w:line="360" w:lineRule="auto"/>
              <w:ind w:firstLine="420" w:firstLineChars="200"/>
              <w:jc w:val="left"/>
              <w:outlineLvl w:val="1"/>
              <w:rPr>
                <w:rFonts w:hint="eastAsia"/>
                <w:color w:val="auto"/>
                <w:lang w:val="en-US" w:eastAsia="zh-CN"/>
              </w:rPr>
            </w:pPr>
            <w:r>
              <w:rPr>
                <w:rFonts w:hint="default"/>
                <w:color w:val="auto"/>
                <w:lang w:val="en-US" w:eastAsia="zh-CN"/>
              </w:rPr>
              <w:t>B.</w:t>
            </w:r>
            <w:r>
              <w:rPr>
                <w:rFonts w:hint="eastAsia"/>
                <w:color w:val="auto"/>
                <w:lang w:val="en-US" w:eastAsia="zh-CN"/>
              </w:rPr>
              <w:t>对底栖生物的影响</w:t>
            </w:r>
          </w:p>
          <w:p>
            <w:pPr>
              <w:spacing w:line="360" w:lineRule="auto"/>
              <w:ind w:firstLine="420" w:firstLineChars="200"/>
              <w:jc w:val="left"/>
              <w:outlineLvl w:val="1"/>
              <w:rPr>
                <w:rFonts w:hint="eastAsia"/>
                <w:color w:val="auto"/>
                <w:lang w:val="en-US" w:eastAsia="zh-CN"/>
              </w:rPr>
            </w:pPr>
            <w:r>
              <w:rPr>
                <w:rFonts w:hint="eastAsia"/>
                <w:color w:val="auto"/>
                <w:lang w:val="en-US" w:eastAsia="zh-CN"/>
              </w:rPr>
              <w:t>工程施工前需进行围堰导流，将造成该区域原底栖生物群落破坏、种类减少，底栖生物本身运动能力有限、相对扩散主要依靠水体运动，防渗工程切断局部地表和地下水的联系，最终将导致局部区域河流底质变动，原有的栖息地被破坏，生境缩小，底栖生物种类和数量减少。工程施工占地面积小，对区域底栖生物影响较小。</w:t>
            </w:r>
          </w:p>
          <w:p>
            <w:pPr>
              <w:spacing w:line="360" w:lineRule="auto"/>
              <w:ind w:firstLine="420" w:firstLineChars="200"/>
              <w:jc w:val="left"/>
              <w:outlineLvl w:val="1"/>
              <w:rPr>
                <w:rFonts w:hint="eastAsia"/>
                <w:color w:val="auto"/>
                <w:lang w:val="en-US" w:eastAsia="zh-CN"/>
              </w:rPr>
            </w:pPr>
            <w:r>
              <w:rPr>
                <w:rFonts w:hint="default"/>
                <w:color w:val="auto"/>
                <w:lang w:val="en-US" w:eastAsia="zh-CN"/>
              </w:rPr>
              <w:t>C.</w:t>
            </w:r>
            <w:r>
              <w:rPr>
                <w:rFonts w:hint="eastAsia"/>
                <w:color w:val="auto"/>
                <w:lang w:val="en-US" w:eastAsia="zh-CN"/>
              </w:rPr>
              <w:t>对鱼类资源的影响</w:t>
            </w:r>
          </w:p>
          <w:p>
            <w:pPr>
              <w:spacing w:line="360" w:lineRule="auto"/>
              <w:ind w:firstLine="420" w:firstLineChars="200"/>
              <w:jc w:val="left"/>
              <w:outlineLvl w:val="1"/>
              <w:rPr>
                <w:rFonts w:hint="eastAsia"/>
                <w:color w:val="auto"/>
                <w:lang w:val="en-US" w:eastAsia="zh-CN"/>
              </w:rPr>
            </w:pPr>
            <w:r>
              <w:rPr>
                <w:rFonts w:hint="eastAsia"/>
                <w:color w:val="auto"/>
                <w:lang w:val="en-US" w:eastAsia="zh-CN"/>
              </w:rPr>
              <w:t>施工活动会导致施工河段原有鱼类栖息条件发生改变，对施工河段鱼类生长、觅食、繁殖和迁移会带来不利影响。正常生活的鱼类会主动回避，择水而栖迁到施工干扰区域外其它地方，致使鱼类种群结构发生改变，施工区域鱼类密度显著降低。据调查，项目区生长的鱼类主要有鲫鱼、泥鳅、草鱼等，河道评价区河段未发现珍稀保护鱼类及其“三场”分布，因此工程建设对鱼类造成的影响相对较小。</w:t>
            </w:r>
          </w:p>
          <w:p>
            <w:pPr>
              <w:spacing w:line="360" w:lineRule="auto"/>
              <w:ind w:firstLine="420" w:firstLineChars="200"/>
              <w:jc w:val="left"/>
              <w:outlineLvl w:val="1"/>
              <w:rPr>
                <w:rFonts w:hint="eastAsia"/>
                <w:color w:val="auto"/>
                <w:lang w:val="en-US" w:eastAsia="zh-CN"/>
              </w:rPr>
            </w:pPr>
            <w:r>
              <w:rPr>
                <w:rFonts w:hint="default"/>
                <w:color w:val="auto"/>
                <w:lang w:val="en-US" w:eastAsia="zh-CN"/>
              </w:rPr>
              <w:t>D.</w:t>
            </w:r>
            <w:r>
              <w:rPr>
                <w:rFonts w:hint="eastAsia"/>
                <w:color w:val="auto"/>
                <w:lang w:val="en-US" w:eastAsia="zh-CN"/>
              </w:rPr>
              <w:t>对生态完整性的影响分析</w:t>
            </w:r>
          </w:p>
          <w:p>
            <w:pPr>
              <w:spacing w:line="360" w:lineRule="auto"/>
              <w:ind w:firstLine="420" w:firstLineChars="200"/>
              <w:jc w:val="left"/>
              <w:outlineLvl w:val="1"/>
              <w:rPr>
                <w:rFonts w:hint="eastAsia"/>
                <w:color w:val="auto"/>
                <w:lang w:val="en-US" w:eastAsia="zh-CN"/>
              </w:rPr>
            </w:pPr>
            <w:r>
              <w:rPr>
                <w:rFonts w:hint="eastAsia"/>
                <w:color w:val="auto"/>
                <w:lang w:val="en-US" w:eastAsia="zh-CN"/>
              </w:rPr>
              <w:t>本工程主要在现有河道内施工。河内陆滩地为历史洪水形成，洪水期河漫滩作为行洪河道，河滩完全被洪水淹没。由于洪水含沙量大，流速慢，落淤严重，洪水过后旧的生态系统完全被破坏，随着时间的推移及人类的利用会衍生新的内陆滩地生态系统。</w:t>
            </w:r>
          </w:p>
          <w:p>
            <w:pPr>
              <w:spacing w:line="360" w:lineRule="auto"/>
              <w:ind w:firstLine="420" w:firstLineChars="200"/>
              <w:jc w:val="left"/>
              <w:outlineLvl w:val="1"/>
              <w:rPr>
                <w:rFonts w:hint="eastAsia"/>
                <w:color w:val="auto"/>
                <w:lang w:val="en-US" w:eastAsia="zh-CN"/>
              </w:rPr>
            </w:pPr>
            <w:r>
              <w:rPr>
                <w:rFonts w:hint="eastAsia"/>
                <w:color w:val="auto"/>
                <w:lang w:val="en-US" w:eastAsia="zh-CN"/>
              </w:rPr>
              <w:t>目前河滩上植物主要为野生杂草和灌丛，植被盖度不均匀，种类较少，物种多样性不高。动物主要为一些低等的昆虫、螃蟹、青蛙及少量的野生动物如野兔、鼠类等，鸟类主要是雀类，施工区域未发现国家重点保护的珍稀动植物。</w:t>
            </w:r>
          </w:p>
          <w:p>
            <w:pPr>
              <w:spacing w:line="360" w:lineRule="auto"/>
              <w:ind w:firstLine="420" w:firstLineChars="200"/>
              <w:jc w:val="left"/>
              <w:outlineLvl w:val="1"/>
              <w:rPr>
                <w:rFonts w:hint="eastAsia"/>
                <w:color w:val="auto"/>
                <w:lang w:val="en-US" w:eastAsia="zh-CN"/>
              </w:rPr>
            </w:pPr>
            <w:r>
              <w:rPr>
                <w:rFonts w:hint="eastAsia"/>
                <w:color w:val="auto"/>
                <w:lang w:val="en-US" w:eastAsia="zh-CN"/>
              </w:rPr>
              <w:t>本次工程建设主要有堤防工程、护坡工程等，工程建设将在各点扰动原地貌，导致植被生境的破碎化、动物迁移。工程完工后将对边坡、滩面进行植树绿化美化，把原来的生态系统改变成人工生态系统，随着绿化措施的实施及绿化植物的生长，区域的生物多样性将逐渐恢复，同时进行水生植物种植，水生生物数量、种类将会增多，也可招引一些鸟类来此觅食、栖息、繁衍，从而使该区域的生物多样性增加。因此评价认为工程建设对动、植物影响不大。</w:t>
            </w:r>
          </w:p>
          <w:p>
            <w:pPr>
              <w:spacing w:line="360" w:lineRule="auto"/>
              <w:ind w:firstLine="420" w:firstLineChars="200"/>
              <w:jc w:val="left"/>
              <w:outlineLvl w:val="1"/>
              <w:rPr>
                <w:rFonts w:hint="eastAsia"/>
                <w:color w:val="auto"/>
                <w:lang w:val="en-US" w:eastAsia="zh-CN"/>
              </w:rPr>
            </w:pPr>
            <w:r>
              <w:rPr>
                <w:rFonts w:hint="eastAsia"/>
                <w:color w:val="auto"/>
                <w:lang w:val="en-US" w:eastAsia="zh-CN"/>
              </w:rPr>
              <w:t>总体上看，工程运行后区域生物多样性会在一定程度上逐渐得到恢复，项目的建设对该区域生物多样性和生态系统完整性的影响不大。</w:t>
            </w:r>
          </w:p>
          <w:p>
            <w:pPr>
              <w:spacing w:line="360" w:lineRule="auto"/>
              <w:jc w:val="left"/>
              <w:outlineLvl w:val="1"/>
              <w:rPr>
                <w:b/>
                <w:bCs/>
                <w:color w:val="auto"/>
              </w:rPr>
            </w:pPr>
            <w:r>
              <w:rPr>
                <w:b/>
                <w:bCs/>
                <w:color w:val="auto"/>
              </w:rPr>
              <w:t>二、环境空气影响分析</w:t>
            </w:r>
          </w:p>
          <w:p>
            <w:pPr>
              <w:autoSpaceDE w:val="0"/>
              <w:autoSpaceDN w:val="0"/>
              <w:spacing w:line="360" w:lineRule="auto"/>
              <w:ind w:firstLine="420" w:firstLineChars="200"/>
              <w:rPr>
                <w:color w:val="auto"/>
              </w:rPr>
            </w:pPr>
            <w:r>
              <w:rPr>
                <w:rFonts w:hint="eastAsia"/>
                <w:color w:val="auto"/>
                <w:lang w:val="en-US" w:eastAsia="zh-CN"/>
              </w:rPr>
              <w:t>防洪</w:t>
            </w:r>
            <w:r>
              <w:rPr>
                <w:color w:val="auto"/>
              </w:rPr>
              <w:t>工程建设过程中，将进行土石方填挖、</w:t>
            </w:r>
            <w:r>
              <w:rPr>
                <w:rFonts w:hint="eastAsia"/>
                <w:color w:val="auto"/>
                <w:lang w:val="en-US" w:eastAsia="zh-CN"/>
              </w:rPr>
              <w:t>砌筑</w:t>
            </w:r>
            <w:r>
              <w:rPr>
                <w:color w:val="auto"/>
              </w:rPr>
              <w:t>材料的运输及拌和等作业工作</w:t>
            </w:r>
            <w:r>
              <w:rPr>
                <w:rFonts w:hint="eastAsia"/>
                <w:color w:val="auto"/>
                <w:lang w:eastAsia="zh-CN"/>
              </w:rPr>
              <w:t>。</w:t>
            </w:r>
            <w:r>
              <w:rPr>
                <w:rFonts w:hint="eastAsia"/>
                <w:color w:val="auto"/>
                <w:lang w:val="en-US" w:eastAsia="zh-CN"/>
              </w:rPr>
              <w:t>施工废气包括施工扬尘、拆除扬尘、施工机械与车辆尾气等。</w:t>
            </w:r>
            <w:r>
              <w:rPr>
                <w:color w:val="auto"/>
              </w:rPr>
              <w:t>施工期的主要环境空气污染物是TSP，其次为动力机械排出的尾气污染物，其中尤以TSP对周围环境影响较为突出。</w:t>
            </w:r>
          </w:p>
          <w:p>
            <w:pPr>
              <w:autoSpaceDE w:val="0"/>
              <w:autoSpaceDN w:val="0"/>
              <w:spacing w:line="360" w:lineRule="auto"/>
              <w:ind w:firstLine="420" w:firstLineChars="200"/>
              <w:rPr>
                <w:color w:val="auto"/>
              </w:rPr>
            </w:pPr>
            <w:r>
              <w:rPr>
                <w:color w:val="auto"/>
              </w:rPr>
              <w:t>1、施工扬尘影响分析</w:t>
            </w:r>
          </w:p>
          <w:p>
            <w:pPr>
              <w:autoSpaceDE w:val="0"/>
              <w:autoSpaceDN w:val="0"/>
              <w:spacing w:line="360" w:lineRule="auto"/>
              <w:ind w:firstLine="420" w:firstLineChars="200"/>
              <w:rPr>
                <w:color w:val="auto"/>
              </w:rPr>
            </w:pPr>
            <w:r>
              <w:rPr>
                <w:rFonts w:hint="eastAsia"/>
                <w:color w:val="auto"/>
                <w:lang w:val="en-US" w:eastAsia="zh-CN"/>
              </w:rPr>
              <w:t>（1）施工场地扬尘</w:t>
            </w:r>
          </w:p>
          <w:p>
            <w:pPr>
              <w:autoSpaceDE w:val="0"/>
              <w:autoSpaceDN w:val="0"/>
              <w:spacing w:line="360" w:lineRule="auto"/>
              <w:ind w:firstLine="420" w:firstLineChars="200"/>
              <w:rPr>
                <w:rFonts w:hint="eastAsia"/>
                <w:color w:val="auto"/>
                <w:lang w:val="en-US" w:eastAsia="zh-CN"/>
              </w:rPr>
            </w:pPr>
            <w:r>
              <w:rPr>
                <w:rFonts w:hint="eastAsia"/>
                <w:color w:val="auto"/>
                <w:lang w:val="en-US" w:eastAsia="zh-CN"/>
              </w:rPr>
              <w:t>扬尘污染来自路基开挖、材料运输与装卸、土石方填挖等工序。施工现场周围粉尘浓度与源强大小及源强距离有关，其中风速越大，颗粒越小，土沙的含水率越小，扬尘的产生量就越大。同时，距离不同，扬尘污染影响程度亦不同。在一般气象条件，施工扬尘的影响范围主要为其下风向</w:t>
            </w:r>
            <w:r>
              <w:rPr>
                <w:rFonts w:hint="default"/>
                <w:color w:val="auto"/>
                <w:lang w:val="en-US" w:eastAsia="zh-CN"/>
              </w:rPr>
              <w:t xml:space="preserve">100m </w:t>
            </w:r>
            <w:r>
              <w:rPr>
                <w:rFonts w:hint="eastAsia"/>
                <w:color w:val="auto"/>
                <w:lang w:val="en-US" w:eastAsia="zh-CN"/>
              </w:rPr>
              <w:t>范围内。根据已建类似工程实际调查资料如下：</w:t>
            </w:r>
          </w:p>
          <w:p>
            <w:pPr>
              <w:keepNext w:val="0"/>
              <w:keepLines w:val="0"/>
              <w:widowControl/>
              <w:suppressLineNumbers w:val="0"/>
              <w:jc w:val="center"/>
              <w:rPr>
                <w:color w:val="auto"/>
                <w:sz w:val="21"/>
                <w:szCs w:val="21"/>
              </w:rPr>
            </w:pPr>
            <w:r>
              <w:rPr>
                <w:rFonts w:ascii="黑体" w:hAnsi="宋体" w:eastAsia="黑体" w:cs="黑体"/>
                <w:color w:val="auto"/>
                <w:kern w:val="0"/>
                <w:sz w:val="21"/>
                <w:szCs w:val="21"/>
                <w:lang w:val="en-US" w:eastAsia="zh-CN" w:bidi="ar"/>
              </w:rPr>
              <w:t>表</w:t>
            </w:r>
            <w:r>
              <w:rPr>
                <w:rFonts w:hint="default" w:ascii="Times New Roman" w:hAnsi="Times New Roman" w:eastAsia="宋体" w:cs="Times New Roman"/>
                <w:color w:val="auto"/>
                <w:kern w:val="0"/>
                <w:sz w:val="21"/>
                <w:szCs w:val="21"/>
                <w:lang w:val="en-US" w:eastAsia="zh-CN" w:bidi="ar"/>
              </w:rPr>
              <w:t xml:space="preserve">4-1 </w:t>
            </w:r>
            <w:r>
              <w:rPr>
                <w:rFonts w:hint="eastAsia" w:ascii="黑体" w:hAnsi="宋体" w:eastAsia="黑体" w:cs="黑体"/>
                <w:color w:val="auto"/>
                <w:kern w:val="0"/>
                <w:sz w:val="21"/>
                <w:szCs w:val="21"/>
                <w:lang w:val="en-US" w:eastAsia="zh-CN" w:bidi="ar"/>
              </w:rPr>
              <w:t>施工期环境空气中</w:t>
            </w:r>
            <w:r>
              <w:rPr>
                <w:rFonts w:hint="default" w:ascii="Times New Roman" w:hAnsi="Times New Roman" w:eastAsia="宋体" w:cs="Times New Roman"/>
                <w:color w:val="auto"/>
                <w:kern w:val="0"/>
                <w:sz w:val="21"/>
                <w:szCs w:val="21"/>
                <w:lang w:val="en-US" w:eastAsia="zh-CN" w:bidi="ar"/>
              </w:rPr>
              <w:t>TSP</w:t>
            </w:r>
            <w:r>
              <w:rPr>
                <w:rFonts w:hint="eastAsia" w:ascii="黑体" w:hAnsi="宋体" w:eastAsia="黑体" w:cs="黑体"/>
                <w:color w:val="auto"/>
                <w:kern w:val="0"/>
                <w:sz w:val="21"/>
                <w:szCs w:val="21"/>
                <w:lang w:val="en-US" w:eastAsia="zh-CN" w:bidi="ar"/>
              </w:rPr>
              <w:t>监测结果</w:t>
            </w:r>
            <w:r>
              <w:rPr>
                <w:rFonts w:hint="default" w:ascii="Times New Roman" w:hAnsi="Times New Roman" w:eastAsia="宋体" w:cs="Times New Roman"/>
                <w:color w:val="auto"/>
                <w:kern w:val="0"/>
                <w:sz w:val="21"/>
                <w:szCs w:val="21"/>
                <w:lang w:val="en-US" w:eastAsia="zh-CN" w:bidi="ar"/>
              </w:rPr>
              <w:t xml:space="preserve"> </w:t>
            </w:r>
            <w:r>
              <w:rPr>
                <w:rFonts w:hint="eastAsia" w:ascii="黑体" w:hAnsi="宋体" w:eastAsia="黑体" w:cs="黑体"/>
                <w:color w:val="auto"/>
                <w:kern w:val="0"/>
                <w:sz w:val="21"/>
                <w:szCs w:val="21"/>
                <w:lang w:val="en-US" w:eastAsia="zh-CN" w:bidi="ar"/>
              </w:rPr>
              <w:t>单位：</w:t>
            </w:r>
            <w:r>
              <w:rPr>
                <w:rFonts w:hint="default" w:ascii="Times New Roman" w:hAnsi="Times New Roman" w:eastAsia="宋体" w:cs="Times New Roman"/>
                <w:color w:val="auto"/>
                <w:kern w:val="0"/>
                <w:sz w:val="21"/>
                <w:szCs w:val="21"/>
                <w:lang w:val="en-US" w:eastAsia="zh-CN" w:bidi="ar"/>
              </w:rPr>
              <w:t>mg/m</w:t>
            </w:r>
            <w:r>
              <w:rPr>
                <w:rFonts w:hint="default" w:ascii="Times New Roman" w:hAnsi="Times New Roman" w:eastAsia="宋体" w:cs="Times New Roman"/>
                <w:color w:val="auto"/>
                <w:kern w:val="0"/>
                <w:sz w:val="21"/>
                <w:szCs w:val="21"/>
                <w:vertAlign w:val="superscript"/>
                <w:lang w:val="en-US" w:eastAsia="zh-CN" w:bidi="ar"/>
              </w:rPr>
              <w:t>3</w:t>
            </w:r>
          </w:p>
          <w:tbl>
            <w:tblPr>
              <w:tblStyle w:val="19"/>
              <w:tblW w:w="8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515"/>
              <w:gridCol w:w="1430"/>
              <w:gridCol w:w="1358"/>
              <w:gridCol w:w="1358"/>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Merge w:val="restart"/>
                </w:tcPr>
                <w:p>
                  <w:pPr>
                    <w:pStyle w:val="23"/>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监测点位</w:t>
                  </w:r>
                </w:p>
              </w:tc>
              <w:tc>
                <w:tcPr>
                  <w:tcW w:w="1515" w:type="dxa"/>
                </w:tcPr>
                <w:p>
                  <w:pPr>
                    <w:pStyle w:val="23"/>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上风向</w:t>
                  </w:r>
                </w:p>
              </w:tc>
              <w:tc>
                <w:tcPr>
                  <w:tcW w:w="5504" w:type="dxa"/>
                  <w:gridSpan w:val="4"/>
                </w:tcPr>
                <w:p>
                  <w:pPr>
                    <w:pStyle w:val="23"/>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Merge w:val="continue"/>
                </w:tcPr>
                <w:p>
                  <w:pPr>
                    <w:pStyle w:val="23"/>
                    <w:jc w:val="center"/>
                    <w:rPr>
                      <w:rFonts w:hint="default" w:ascii="Times New Roman" w:hAnsi="Times New Roman" w:cs="Times New Roman" w:eastAsiaTheme="minorEastAsia"/>
                      <w:color w:val="auto"/>
                      <w:sz w:val="21"/>
                      <w:szCs w:val="21"/>
                      <w:vertAlign w:val="baseline"/>
                      <w:lang w:val="en-US" w:eastAsia="zh-CN"/>
                    </w:rPr>
                  </w:pPr>
                </w:p>
              </w:tc>
              <w:tc>
                <w:tcPr>
                  <w:tcW w:w="1515" w:type="dxa"/>
                </w:tcPr>
                <w:p>
                  <w:pPr>
                    <w:pStyle w:val="23"/>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1#点</w:t>
                  </w:r>
                </w:p>
              </w:tc>
              <w:tc>
                <w:tcPr>
                  <w:tcW w:w="1430" w:type="dxa"/>
                </w:tcPr>
                <w:p>
                  <w:pPr>
                    <w:pStyle w:val="23"/>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lang w:val="en-US" w:eastAsia="zh-CN"/>
                    </w:rPr>
                    <w:t>2#点</w:t>
                  </w:r>
                </w:p>
              </w:tc>
              <w:tc>
                <w:tcPr>
                  <w:tcW w:w="1358" w:type="dxa"/>
                </w:tcPr>
                <w:p>
                  <w:pPr>
                    <w:pStyle w:val="23"/>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lang w:val="en-US" w:eastAsia="zh-CN"/>
                    </w:rPr>
                    <w:t>3#点</w:t>
                  </w:r>
                </w:p>
              </w:tc>
              <w:tc>
                <w:tcPr>
                  <w:tcW w:w="1358" w:type="dxa"/>
                </w:tcPr>
                <w:p>
                  <w:pPr>
                    <w:pStyle w:val="23"/>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lang w:val="en-US" w:eastAsia="zh-CN"/>
                    </w:rPr>
                    <w:t>4#点</w:t>
                  </w:r>
                </w:p>
              </w:tc>
              <w:tc>
                <w:tcPr>
                  <w:tcW w:w="1358" w:type="dxa"/>
                </w:tcPr>
                <w:p>
                  <w:pPr>
                    <w:pStyle w:val="23"/>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lang w:val="en-US" w:eastAsia="zh-CN"/>
                    </w:rPr>
                    <w:t>5#点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Align w:val="top"/>
                </w:tcPr>
                <w:p>
                  <w:pPr>
                    <w:pStyle w:val="23"/>
                    <w:jc w:val="center"/>
                    <w:rPr>
                      <w:rFonts w:hint="default" w:ascii="Times New Roman" w:hAnsi="Times New Roman" w:cs="Times New Roman" w:eastAsiaTheme="minorEastAsia"/>
                      <w:color w:val="auto"/>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距离</w:t>
                  </w:r>
                </w:p>
              </w:tc>
              <w:tc>
                <w:tcPr>
                  <w:tcW w:w="1515" w:type="dxa"/>
                </w:tcPr>
                <w:p>
                  <w:pPr>
                    <w:pStyle w:val="23"/>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20m</w:t>
                  </w:r>
                </w:p>
              </w:tc>
              <w:tc>
                <w:tcPr>
                  <w:tcW w:w="1430" w:type="dxa"/>
                </w:tcPr>
                <w:p>
                  <w:pPr>
                    <w:pStyle w:val="23"/>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lang w:val="en-US" w:eastAsia="zh-CN"/>
                    </w:rPr>
                    <w:t>10m</w:t>
                  </w:r>
                </w:p>
              </w:tc>
              <w:tc>
                <w:tcPr>
                  <w:tcW w:w="1358" w:type="dxa"/>
                </w:tcPr>
                <w:p>
                  <w:pPr>
                    <w:pStyle w:val="23"/>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lang w:val="en-US" w:eastAsia="zh-CN"/>
                    </w:rPr>
                    <w:t>50m</w:t>
                  </w:r>
                </w:p>
              </w:tc>
              <w:tc>
                <w:tcPr>
                  <w:tcW w:w="1358" w:type="dxa"/>
                </w:tcPr>
                <w:p>
                  <w:pPr>
                    <w:pStyle w:val="23"/>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lang w:val="en-US" w:eastAsia="zh-CN"/>
                    </w:rPr>
                    <w:t>100m</w:t>
                  </w:r>
                </w:p>
              </w:tc>
              <w:tc>
                <w:tcPr>
                  <w:tcW w:w="1358" w:type="dxa"/>
                </w:tcPr>
                <w:p>
                  <w:pPr>
                    <w:pStyle w:val="23"/>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lang w:val="en-US" w:eastAsia="zh-CN"/>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Align w:val="top"/>
                </w:tcPr>
                <w:p>
                  <w:pPr>
                    <w:pStyle w:val="23"/>
                    <w:jc w:val="center"/>
                    <w:rPr>
                      <w:rFonts w:hint="default" w:ascii="Times New Roman" w:hAnsi="Times New Roman" w:cs="Times New Roman" w:eastAsiaTheme="minorEastAsia"/>
                      <w:color w:val="auto"/>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浓度值</w:t>
                  </w:r>
                </w:p>
              </w:tc>
              <w:tc>
                <w:tcPr>
                  <w:tcW w:w="1515" w:type="dxa"/>
                </w:tcPr>
                <w:p>
                  <w:pPr>
                    <w:pStyle w:val="23"/>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0.244~0.269</w:t>
                  </w:r>
                </w:p>
              </w:tc>
              <w:tc>
                <w:tcPr>
                  <w:tcW w:w="1430" w:type="dxa"/>
                </w:tcPr>
                <w:p>
                  <w:pPr>
                    <w:pStyle w:val="23"/>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0.776~0.785</w:t>
                  </w:r>
                </w:p>
              </w:tc>
              <w:tc>
                <w:tcPr>
                  <w:tcW w:w="1358" w:type="dxa"/>
                </w:tcPr>
                <w:p>
                  <w:pPr>
                    <w:pStyle w:val="23"/>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0.756~0.779</w:t>
                  </w:r>
                </w:p>
              </w:tc>
              <w:tc>
                <w:tcPr>
                  <w:tcW w:w="1358" w:type="dxa"/>
                </w:tcPr>
                <w:p>
                  <w:pPr>
                    <w:pStyle w:val="23"/>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0.416~0.513</w:t>
                  </w:r>
                </w:p>
              </w:tc>
              <w:tc>
                <w:tcPr>
                  <w:tcW w:w="1358" w:type="dxa"/>
                </w:tcPr>
                <w:p>
                  <w:pPr>
                    <w:pStyle w:val="23"/>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0.250~0.258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Align w:val="top"/>
                </w:tcPr>
                <w:p>
                  <w:pPr>
                    <w:pStyle w:val="23"/>
                    <w:jc w:val="center"/>
                    <w:rPr>
                      <w:rFonts w:hint="default" w:ascii="Times New Roman" w:hAnsi="Times New Roman" w:cs="Times New Roman" w:eastAsiaTheme="minorEastAsia"/>
                      <w:color w:val="auto"/>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标准值</w:t>
                  </w:r>
                </w:p>
              </w:tc>
              <w:tc>
                <w:tcPr>
                  <w:tcW w:w="7019" w:type="dxa"/>
                  <w:gridSpan w:val="5"/>
                </w:tcPr>
                <w:p>
                  <w:pPr>
                    <w:pStyle w:val="23"/>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0.8</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color w:val="auto"/>
                <w:lang w:val="en-US" w:eastAsia="zh-CN"/>
              </w:rPr>
            </w:pPr>
            <w:r>
              <w:rPr>
                <w:rFonts w:hint="eastAsia" w:ascii="宋体" w:hAnsi="宋体" w:eastAsia="宋体" w:cs="宋体"/>
                <w:b/>
                <w:bCs/>
                <w:color w:val="auto"/>
                <w:kern w:val="0"/>
                <w:sz w:val="18"/>
                <w:szCs w:val="18"/>
                <w:lang w:val="en-US" w:eastAsia="zh-CN" w:bidi="ar"/>
              </w:rPr>
              <w:t>注：参考无组织排放监控浓度值。</w:t>
            </w:r>
          </w:p>
          <w:p>
            <w:pPr>
              <w:autoSpaceDE w:val="0"/>
              <w:autoSpaceDN w:val="0"/>
              <w:spacing w:line="360" w:lineRule="auto"/>
              <w:ind w:firstLine="420" w:firstLineChars="200"/>
              <w:rPr>
                <w:rFonts w:hint="eastAsia"/>
                <w:color w:val="auto"/>
                <w:lang w:val="en-US" w:eastAsia="zh-CN"/>
              </w:rPr>
            </w:pPr>
            <w:r>
              <w:rPr>
                <w:rFonts w:hint="eastAsia"/>
                <w:color w:val="auto"/>
                <w:lang w:val="en-US" w:eastAsia="zh-CN"/>
              </w:rPr>
              <w:t>施工场地至下风向距离</w:t>
            </w:r>
            <w:r>
              <w:rPr>
                <w:rFonts w:hint="default"/>
                <w:color w:val="auto"/>
                <w:lang w:val="en-US" w:eastAsia="zh-CN"/>
              </w:rPr>
              <w:t>100m</w:t>
            </w:r>
            <w:r>
              <w:rPr>
                <w:rFonts w:hint="eastAsia"/>
                <w:color w:val="auto"/>
                <w:lang w:val="en-US" w:eastAsia="zh-CN"/>
              </w:rPr>
              <w:t>内，环境空气中</w:t>
            </w:r>
            <w:r>
              <w:rPr>
                <w:rFonts w:hint="default"/>
                <w:color w:val="auto"/>
                <w:lang w:val="en-US" w:eastAsia="zh-CN"/>
              </w:rPr>
              <w:t>TSP</w:t>
            </w:r>
            <w:r>
              <w:rPr>
                <w:rFonts w:hint="eastAsia"/>
                <w:color w:val="auto"/>
                <w:lang w:val="en-US" w:eastAsia="zh-CN"/>
              </w:rPr>
              <w:t>含量是其上风向监测结果的</w:t>
            </w:r>
            <w:r>
              <w:rPr>
                <w:rFonts w:hint="default"/>
                <w:color w:val="auto"/>
                <w:lang w:val="en-US" w:eastAsia="zh-CN"/>
              </w:rPr>
              <w:t xml:space="preserve">1.7~12.8 </w:t>
            </w:r>
            <w:r>
              <w:rPr>
                <w:rFonts w:hint="eastAsia"/>
                <w:color w:val="auto"/>
                <w:lang w:val="en-US" w:eastAsia="zh-CN"/>
              </w:rPr>
              <w:t xml:space="preserve">倍；至下风向距离 </w:t>
            </w:r>
            <w:r>
              <w:rPr>
                <w:rFonts w:hint="default"/>
                <w:color w:val="auto"/>
                <w:lang w:val="en-US" w:eastAsia="zh-CN"/>
              </w:rPr>
              <w:t xml:space="preserve">200m </w:t>
            </w:r>
            <w:r>
              <w:rPr>
                <w:rFonts w:hint="eastAsia"/>
                <w:color w:val="auto"/>
                <w:lang w:val="en-US" w:eastAsia="zh-CN"/>
              </w:rPr>
              <w:t xml:space="preserve">处，环境空气中 </w:t>
            </w:r>
            <w:r>
              <w:rPr>
                <w:rFonts w:hint="default"/>
                <w:color w:val="auto"/>
                <w:lang w:val="en-US" w:eastAsia="zh-CN"/>
              </w:rPr>
              <w:t xml:space="preserve">TSP </w:t>
            </w:r>
            <w:r>
              <w:rPr>
                <w:rFonts w:hint="eastAsia"/>
                <w:color w:val="auto"/>
                <w:lang w:val="en-US" w:eastAsia="zh-CN"/>
              </w:rPr>
              <w:t xml:space="preserve">含量趋近于其上风向背景值。由此可见，施工扬尘环境空气影响主要在下风向距离 </w:t>
            </w:r>
            <w:r>
              <w:rPr>
                <w:rFonts w:hint="default"/>
                <w:color w:val="auto"/>
                <w:lang w:val="en-US" w:eastAsia="zh-CN"/>
              </w:rPr>
              <w:t xml:space="preserve">200m </w:t>
            </w:r>
            <w:r>
              <w:rPr>
                <w:rFonts w:hint="eastAsia"/>
                <w:color w:val="auto"/>
                <w:lang w:val="en-US" w:eastAsia="zh-CN"/>
              </w:rPr>
              <w:t>范围内。</w:t>
            </w:r>
          </w:p>
          <w:p>
            <w:pPr>
              <w:autoSpaceDE w:val="0"/>
              <w:autoSpaceDN w:val="0"/>
              <w:spacing w:line="360" w:lineRule="auto"/>
              <w:ind w:firstLine="420" w:firstLineChars="200"/>
              <w:rPr>
                <w:color w:val="auto"/>
              </w:rPr>
            </w:pPr>
            <w:r>
              <w:rPr>
                <w:rFonts w:hint="eastAsia"/>
                <w:color w:val="auto"/>
                <w:lang w:val="en-US" w:eastAsia="zh-CN"/>
              </w:rPr>
              <w:t>靠近敏感点处施工量较小，通过设置施工围挡、采取洒水降尘、遮盖篷布等措施后</w:t>
            </w:r>
            <w:r>
              <w:rPr>
                <w:color w:val="auto"/>
              </w:rPr>
              <w:t>，应保证扬尘不得超过《施工场界扬尘排放限值》（DB61/1078-2017）。项目施工期周期短，施工期扬尘影响随施工结束而消失，采取上述措施后，粉尘影响和污染程度会明显减轻，对区域空气环境质量影响不大。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rPr>
            </w:pPr>
            <w:r>
              <w:rPr>
                <w:rFonts w:hint="eastAsia"/>
                <w:color w:val="auto"/>
                <w:lang w:val="en-US" w:eastAsia="zh-CN"/>
              </w:rPr>
              <w:t>（2）运输扬尘</w:t>
            </w:r>
          </w:p>
          <w:p>
            <w:pPr>
              <w:autoSpaceDE w:val="0"/>
              <w:autoSpaceDN w:val="0"/>
              <w:spacing w:line="360" w:lineRule="auto"/>
              <w:ind w:firstLine="420" w:firstLineChars="200"/>
              <w:rPr>
                <w:color w:val="auto"/>
              </w:rPr>
            </w:pPr>
            <w:r>
              <w:rPr>
                <w:rFonts w:hint="eastAsia"/>
                <w:color w:val="auto"/>
                <w:lang w:val="en-US" w:eastAsia="zh-CN"/>
              </w:rPr>
              <w:t xml:space="preserve">据调查，现场施工场地道路多为简易沙石路面，如不及时采取路面硬化等措施，施工车辆通行过程会造成路面沉积颗粒物反复扬起、沉降，极易造成新的污染。 </w:t>
            </w:r>
          </w:p>
          <w:p>
            <w:pPr>
              <w:autoSpaceDE w:val="0"/>
              <w:autoSpaceDN w:val="0"/>
              <w:spacing w:line="360" w:lineRule="auto"/>
              <w:ind w:firstLine="420" w:firstLineChars="200"/>
              <w:rPr>
                <w:color w:val="auto"/>
              </w:rPr>
            </w:pPr>
            <w:r>
              <w:rPr>
                <w:rFonts w:hint="eastAsia"/>
                <w:color w:val="auto"/>
                <w:lang w:val="en-US" w:eastAsia="zh-CN"/>
              </w:rPr>
              <w:t xml:space="preserve">有关调查资料显示，施工工地扬尘主要产生在运输车辆行驶过程，约占扬尘总量的 </w:t>
            </w:r>
            <w:r>
              <w:rPr>
                <w:rFonts w:hint="default"/>
                <w:color w:val="auto"/>
                <w:lang w:val="en-US" w:eastAsia="zh-CN"/>
              </w:rPr>
              <w:t>60%</w:t>
            </w:r>
            <w:r>
              <w:rPr>
                <w:rFonts w:hint="eastAsia"/>
                <w:color w:val="auto"/>
                <w:lang w:val="en-US" w:eastAsia="zh-CN"/>
              </w:rPr>
              <w:t xml:space="preserve">，在完全干燥情况下一辆 </w:t>
            </w:r>
            <w:r>
              <w:rPr>
                <w:rFonts w:hint="default"/>
                <w:color w:val="auto"/>
                <w:lang w:val="en-US" w:eastAsia="zh-CN"/>
              </w:rPr>
              <w:t xml:space="preserve">10t </w:t>
            </w:r>
            <w:r>
              <w:rPr>
                <w:rFonts w:hint="eastAsia"/>
                <w:color w:val="auto"/>
                <w:lang w:val="en-US" w:eastAsia="zh-CN"/>
              </w:rPr>
              <w:t xml:space="preserve">卡车通过一段长度为 </w:t>
            </w:r>
            <w:r>
              <w:rPr>
                <w:rFonts w:hint="default"/>
                <w:color w:val="auto"/>
                <w:lang w:val="en-US" w:eastAsia="zh-CN"/>
              </w:rPr>
              <w:t xml:space="preserve">1km </w:t>
            </w:r>
            <w:r>
              <w:rPr>
                <w:rFonts w:hint="eastAsia"/>
                <w:color w:val="auto"/>
                <w:lang w:val="en-US" w:eastAsia="zh-CN"/>
              </w:rPr>
              <w:t>路面时，路面不同清洁程度、不同行驶速度下扬尘量按经验公式计算后的路表粉尘量见表</w:t>
            </w:r>
            <w:r>
              <w:rPr>
                <w:rFonts w:hint="default"/>
                <w:color w:val="auto"/>
                <w:lang w:val="en-US" w:eastAsia="zh-CN"/>
              </w:rPr>
              <w:t>4-2</w:t>
            </w:r>
            <w:r>
              <w:rPr>
                <w:rFonts w:hint="eastAsia"/>
                <w:color w:val="auto"/>
                <w:lang w:val="en-US" w:eastAsia="zh-CN"/>
              </w:rPr>
              <w:t>。</w:t>
            </w:r>
          </w:p>
          <w:p>
            <w:pPr>
              <w:keepNext w:val="0"/>
              <w:keepLines w:val="0"/>
              <w:widowControl/>
              <w:suppressLineNumbers w:val="0"/>
              <w:wordWrap w:val="0"/>
              <w:jc w:val="right"/>
              <w:rPr>
                <w:rFonts w:hint="default"/>
                <w:color w:val="auto"/>
                <w:lang w:val="en-US"/>
              </w:rPr>
            </w:pPr>
            <w:r>
              <w:rPr>
                <w:rFonts w:ascii="黑体" w:hAnsi="宋体" w:eastAsia="黑体" w:cs="黑体"/>
                <w:color w:val="auto"/>
                <w:kern w:val="0"/>
                <w:sz w:val="21"/>
                <w:szCs w:val="21"/>
                <w:lang w:val="en-US" w:eastAsia="zh-CN" w:bidi="ar"/>
              </w:rPr>
              <w:t>表</w:t>
            </w:r>
            <w:r>
              <w:rPr>
                <w:rFonts w:hint="default" w:ascii="Times New Roman" w:hAnsi="Times New Roman" w:eastAsia="宋体" w:cs="Times New Roman"/>
                <w:color w:val="auto"/>
                <w:kern w:val="0"/>
                <w:sz w:val="21"/>
                <w:szCs w:val="21"/>
                <w:lang w:val="en-US" w:eastAsia="zh-CN" w:bidi="ar"/>
              </w:rPr>
              <w:t xml:space="preserve">4-2 </w:t>
            </w:r>
            <w:r>
              <w:rPr>
                <w:rFonts w:hint="eastAsia" w:cs="Times New Roman"/>
                <w:color w:val="auto"/>
                <w:kern w:val="0"/>
                <w:sz w:val="21"/>
                <w:szCs w:val="21"/>
                <w:lang w:val="en-US" w:eastAsia="zh-CN" w:bidi="ar"/>
              </w:rPr>
              <w:t xml:space="preserve"> </w:t>
            </w:r>
            <w:r>
              <w:rPr>
                <w:rFonts w:hint="eastAsia" w:ascii="黑体" w:hAnsi="宋体" w:eastAsia="黑体" w:cs="黑体"/>
                <w:color w:val="auto"/>
                <w:kern w:val="0"/>
                <w:sz w:val="21"/>
                <w:szCs w:val="21"/>
                <w:lang w:val="en-US" w:eastAsia="zh-CN" w:bidi="ar"/>
              </w:rPr>
              <w:t xml:space="preserve">不同车速和地面清洁程度的汽车扬尘 </w:t>
            </w:r>
            <w:r>
              <w:rPr>
                <w:rFonts w:hint="default" w:ascii="Times New Roman" w:hAnsi="Times New Roman" w:eastAsia="宋体" w:cs="Times New Roman"/>
                <w:color w:val="auto"/>
                <w:kern w:val="0"/>
                <w:sz w:val="21"/>
                <w:szCs w:val="21"/>
                <w:lang w:val="en-US" w:eastAsia="zh-CN" w:bidi="ar"/>
              </w:rPr>
              <w:t xml:space="preserve"> </w:t>
            </w:r>
            <w:r>
              <w:rPr>
                <w:rFonts w:hint="eastAsia" w:cs="Times New Roman"/>
                <w:color w:val="auto"/>
                <w:kern w:val="0"/>
                <w:sz w:val="21"/>
                <w:szCs w:val="21"/>
                <w:lang w:val="en-US" w:eastAsia="zh-CN" w:bidi="ar"/>
              </w:rPr>
              <w:t xml:space="preserve">  </w:t>
            </w:r>
            <w:r>
              <w:rPr>
                <w:rFonts w:hint="eastAsia" w:ascii="黑体" w:hAnsi="宋体" w:eastAsia="黑体" w:cs="黑体"/>
                <w:color w:val="auto"/>
                <w:kern w:val="0"/>
                <w:sz w:val="21"/>
                <w:szCs w:val="21"/>
                <w:lang w:val="en-US" w:eastAsia="zh-CN" w:bidi="ar"/>
              </w:rPr>
              <w:t>单位：</w:t>
            </w:r>
            <w:r>
              <w:rPr>
                <w:rFonts w:hint="default" w:ascii="Times New Roman" w:hAnsi="Times New Roman" w:eastAsia="宋体" w:cs="Times New Roman"/>
                <w:color w:val="auto"/>
                <w:kern w:val="0"/>
                <w:sz w:val="21"/>
                <w:szCs w:val="21"/>
                <w:lang w:val="en-US" w:eastAsia="zh-CN" w:bidi="ar"/>
              </w:rPr>
              <w:t>kg/</w:t>
            </w:r>
            <w:r>
              <w:rPr>
                <w:rFonts w:hint="eastAsia" w:ascii="黑体" w:hAnsi="宋体" w:eastAsia="黑体" w:cs="黑体"/>
                <w:color w:val="auto"/>
                <w:kern w:val="0"/>
                <w:sz w:val="21"/>
                <w:szCs w:val="21"/>
                <w:lang w:val="en-US" w:eastAsia="zh-CN" w:bidi="ar"/>
              </w:rPr>
              <w:t>辆</w:t>
            </w:r>
            <w:r>
              <w:rPr>
                <w:rFonts w:hint="default" w:ascii="Times New Roman" w:hAnsi="Times New Roman" w:eastAsia="宋体" w:cs="Times New Roman"/>
                <w:color w:val="auto"/>
                <w:kern w:val="0"/>
                <w:sz w:val="21"/>
                <w:szCs w:val="21"/>
                <w:lang w:val="en-US" w:eastAsia="zh-CN" w:bidi="ar"/>
              </w:rPr>
              <w:t>·km</w:t>
            </w:r>
            <w:r>
              <w:rPr>
                <w:rFonts w:hint="eastAsia" w:cs="Times New Roman"/>
                <w:color w:val="auto"/>
                <w:kern w:val="0"/>
                <w:sz w:val="21"/>
                <w:szCs w:val="21"/>
                <w:lang w:val="en-US" w:eastAsia="zh-CN" w:bidi="ar"/>
              </w:rPr>
              <w:t xml:space="preserve"> </w:t>
            </w:r>
          </w:p>
          <w:tbl>
            <w:tblPr>
              <w:tblStyle w:val="19"/>
              <w:tblW w:w="8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080"/>
              <w:gridCol w:w="1050"/>
              <w:gridCol w:w="1080"/>
              <w:gridCol w:w="1065"/>
              <w:gridCol w:w="1099"/>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vertAlign w:val="baseline"/>
                      <w:lang w:val="en-US" w:eastAsia="zh-CN"/>
                    </w:rPr>
                  </w:pP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19685</wp:posOffset>
                            </wp:positionV>
                            <wp:extent cx="1019175" cy="341630"/>
                            <wp:effectExtent l="1270" t="4445" r="8255" b="15875"/>
                            <wp:wrapNone/>
                            <wp:docPr id="1" name="直接连接符 1"/>
                            <wp:cNvGraphicFramePr/>
                            <a:graphic xmlns:a="http://schemas.openxmlformats.org/drawingml/2006/main">
                              <a:graphicData uri="http://schemas.microsoft.com/office/word/2010/wordprocessingShape">
                                <wps:wsp>
                                  <wps:cNvCnPr/>
                                  <wps:spPr>
                                    <a:xfrm>
                                      <a:off x="1465580" y="6761480"/>
                                      <a:ext cx="1019175" cy="341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45pt;margin-top:1.55pt;height:26.9pt;width:80.25pt;z-index:251659264;mso-width-relative:page;mso-height-relative:page;" filled="f" stroked="t" coordsize="21600,21600" o:gfxdata="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rAi2PWAAAABwEAAA8AAAAAAAAAAQAgAAAAIgAAAGRycy9kb3du&#10;cmV2LnhtbFBLAQIUABQAAAAIAIdO4kC8yKAJAQIAAOQDAAAOAAAAAAAAAAEAIAAAACUBAABkcnMv&#10;ZTJvRG9jLnhtbFBLBQYAAAAABgAGAFkBAACYBQAAAAA=&#10;">
                            <v:fill on="f" focussize="0,0"/>
                            <v:stroke color="#000000 [3200]" joinstyle="round"/>
                            <v:imagedata o:title=""/>
                            <o:lock v:ext="edit" aspectratio="f"/>
                          </v:line>
                        </w:pict>
                      </mc:Fallback>
                    </mc:AlternateContent>
                  </w:r>
                  <w:r>
                    <w:rPr>
                      <w:rFonts w:hint="eastAsia"/>
                      <w:color w:val="auto"/>
                      <w:vertAlign w:val="baseline"/>
                      <w:lang w:val="en-US" w:eastAsia="zh-CN"/>
                    </w:rPr>
                    <w:t xml:space="preserve">  路面粉尘量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color w:val="auto"/>
                      <w:vertAlign w:val="baseline"/>
                      <w:lang w:val="en-US" w:eastAsia="zh-CN"/>
                    </w:rPr>
                  </w:pPr>
                  <w:r>
                    <w:rPr>
                      <w:rFonts w:hint="eastAsia"/>
                      <w:color w:val="auto"/>
                      <w:vertAlign w:val="baseline"/>
                      <w:lang w:val="en-US" w:eastAsia="zh-CN"/>
                    </w:rPr>
                    <w:t>车速</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0.1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（kg/m</w:t>
                  </w:r>
                  <w:r>
                    <w:rPr>
                      <w:rFonts w:hint="eastAsia"/>
                      <w:color w:val="auto"/>
                      <w:vertAlign w:val="superscript"/>
                      <w:lang w:val="en-US" w:eastAsia="zh-CN"/>
                    </w:rPr>
                    <w:t>2</w:t>
                  </w:r>
                  <w:r>
                    <w:rPr>
                      <w:rFonts w:hint="eastAsia"/>
                      <w:color w:val="auto"/>
                      <w:vertAlign w:val="baseline"/>
                      <w:lang w:val="en-US" w:eastAsia="zh-CN"/>
                    </w:rPr>
                    <w:t>）</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0.2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vertAlign w:val="baseline"/>
                    </w:rPr>
                  </w:pPr>
                  <w:r>
                    <w:rPr>
                      <w:rFonts w:hint="eastAsia"/>
                      <w:color w:val="auto"/>
                      <w:vertAlign w:val="baseline"/>
                      <w:lang w:val="en-US" w:eastAsia="zh-CN"/>
                    </w:rPr>
                    <w:t>（kg/m</w:t>
                  </w:r>
                  <w:r>
                    <w:rPr>
                      <w:rFonts w:hint="eastAsia"/>
                      <w:color w:val="auto"/>
                      <w:vertAlign w:val="superscript"/>
                      <w:lang w:val="en-US" w:eastAsia="zh-CN"/>
                    </w:rPr>
                    <w:t>2</w:t>
                  </w:r>
                  <w:r>
                    <w:rPr>
                      <w:rFonts w:hint="eastAsia"/>
                      <w:color w:val="auto"/>
                      <w:vertAlign w:val="baseline"/>
                      <w:lang w:val="en-US" w:eastAsia="zh-CN"/>
                    </w:rPr>
                    <w:t>）</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0.3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vertAlign w:val="baseline"/>
                    </w:rPr>
                  </w:pPr>
                  <w:r>
                    <w:rPr>
                      <w:rFonts w:hint="eastAsia"/>
                      <w:color w:val="auto"/>
                      <w:vertAlign w:val="baseline"/>
                      <w:lang w:val="en-US" w:eastAsia="zh-CN"/>
                    </w:rPr>
                    <w:t>（kg/m</w:t>
                  </w:r>
                  <w:r>
                    <w:rPr>
                      <w:rFonts w:hint="eastAsia"/>
                      <w:color w:val="auto"/>
                      <w:vertAlign w:val="superscript"/>
                      <w:lang w:val="en-US" w:eastAsia="zh-CN"/>
                    </w:rPr>
                    <w:t>2</w:t>
                  </w:r>
                  <w:r>
                    <w:rPr>
                      <w:rFonts w:hint="eastAsia"/>
                      <w:color w:val="auto"/>
                      <w:vertAlign w:val="baseline"/>
                      <w:lang w:val="en-US" w:eastAsia="zh-CN"/>
                    </w:rPr>
                    <w:t>）</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0.4</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vertAlign w:val="baseline"/>
                    </w:rPr>
                  </w:pPr>
                  <w:r>
                    <w:rPr>
                      <w:rFonts w:hint="eastAsia"/>
                      <w:color w:val="auto"/>
                      <w:vertAlign w:val="baseline"/>
                      <w:lang w:val="en-US" w:eastAsia="zh-CN"/>
                    </w:rPr>
                    <w:t>（kg/m</w:t>
                  </w:r>
                  <w:r>
                    <w:rPr>
                      <w:rFonts w:hint="eastAsia"/>
                      <w:color w:val="auto"/>
                      <w:vertAlign w:val="superscript"/>
                      <w:lang w:val="en-US" w:eastAsia="zh-CN"/>
                    </w:rPr>
                    <w:t>2</w:t>
                  </w:r>
                  <w:r>
                    <w:rPr>
                      <w:rFonts w:hint="eastAsia"/>
                      <w:color w:val="auto"/>
                      <w:vertAlign w:val="baseline"/>
                      <w:lang w:val="en-US" w:eastAsia="zh-CN"/>
                    </w:rPr>
                    <w:t>）</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0.5</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vertAlign w:val="baseline"/>
                    </w:rPr>
                  </w:pPr>
                  <w:r>
                    <w:rPr>
                      <w:rFonts w:hint="eastAsia"/>
                      <w:color w:val="auto"/>
                      <w:vertAlign w:val="baseline"/>
                      <w:lang w:val="en-US" w:eastAsia="zh-CN"/>
                    </w:rPr>
                    <w:t>（kg/m</w:t>
                  </w:r>
                  <w:r>
                    <w:rPr>
                      <w:rFonts w:hint="eastAsia"/>
                      <w:color w:val="auto"/>
                      <w:vertAlign w:val="superscript"/>
                      <w:lang w:val="en-US" w:eastAsia="zh-CN"/>
                    </w:rPr>
                    <w:t>2</w:t>
                  </w:r>
                  <w:r>
                    <w:rPr>
                      <w:rFonts w:hint="eastAsia"/>
                      <w:color w:val="auto"/>
                      <w:vertAlign w:val="baseline"/>
                      <w:lang w:val="en-US" w:eastAsia="zh-CN"/>
                    </w:rPr>
                    <w:t>）</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vertAlign w:val="baseline"/>
                    </w:rPr>
                  </w:pPr>
                  <w:r>
                    <w:rPr>
                      <w:rFonts w:hint="eastAsia"/>
                      <w:color w:val="auto"/>
                      <w:vertAlign w:val="baseline"/>
                      <w:lang w:val="en-US" w:eastAsia="zh-CN"/>
                    </w:rPr>
                    <w:t>1.0（kg/m</w:t>
                  </w:r>
                  <w:r>
                    <w:rPr>
                      <w:rFonts w:hint="eastAsia"/>
                      <w:color w:val="auto"/>
                      <w:vertAlign w:val="superscript"/>
                      <w:lang w:val="en-US" w:eastAsia="zh-CN"/>
                    </w:rPr>
                    <w:t>2</w:t>
                  </w:r>
                  <w:r>
                    <w:rPr>
                      <w:rFonts w:hint="eastAsia"/>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5km</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0.051</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0.086</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0.116</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0.144</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0.171</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0.287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10km</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0.102</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0.172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0.233</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0.289</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0.341</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0.574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15km</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0.153</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0.258</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0.349</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0.433</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0.512</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0.861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25km</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0.255</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0.429</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0.582</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0.722</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0.854</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1.436</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color w:val="auto"/>
                <w:lang w:val="en-US" w:eastAsia="zh-CN"/>
              </w:rPr>
            </w:pPr>
            <w:r>
              <w:rPr>
                <w:rFonts w:hint="eastAsia"/>
                <w:color w:val="auto"/>
                <w:lang w:val="en-US" w:eastAsia="zh-CN"/>
              </w:rPr>
              <w:t>由此可见，在同样路面清洁程度条件下，车速越快，扬尘量越大；而在同样车速情况下，路面越脏，则扬尘量更大。因此加强对出入施工场地车辆进行冲洗、限速行驶及保持路面清洁是减少和防止道路扬尘的有效手段。</w:t>
            </w:r>
          </w:p>
          <w:p>
            <w:pPr>
              <w:spacing w:line="360" w:lineRule="auto"/>
              <w:ind w:firstLine="420" w:firstLineChars="200"/>
              <w:rPr>
                <w:rFonts w:hint="eastAsia"/>
                <w:color w:val="auto"/>
                <w:lang w:val="en-US" w:eastAsia="zh-CN"/>
              </w:rPr>
            </w:pPr>
            <w:r>
              <w:rPr>
                <w:rFonts w:hint="eastAsia"/>
                <w:color w:val="auto"/>
                <w:lang w:val="en-US" w:eastAsia="zh-CN"/>
              </w:rPr>
              <w:t>（3）料场扬尘</w:t>
            </w:r>
          </w:p>
          <w:p>
            <w:pPr>
              <w:spacing w:line="360" w:lineRule="auto"/>
              <w:ind w:firstLine="420" w:firstLineChars="200"/>
              <w:rPr>
                <w:color w:val="auto"/>
              </w:rPr>
            </w:pPr>
            <w:r>
              <w:rPr>
                <w:rFonts w:hint="eastAsia"/>
                <w:color w:val="auto"/>
                <w:lang w:val="en-US" w:eastAsia="zh-CN"/>
              </w:rPr>
              <w:t>堆料场周围设置围挡，采取洒水降尘、遮盖防风抑尘网等措施，能够有效减少料场产生的扬尘。</w:t>
            </w:r>
          </w:p>
          <w:p>
            <w:pPr>
              <w:spacing w:line="360" w:lineRule="auto"/>
              <w:ind w:firstLine="420" w:firstLineChars="200"/>
              <w:rPr>
                <w:color w:val="auto"/>
              </w:rPr>
            </w:pPr>
            <w:r>
              <w:rPr>
                <w:rFonts w:hint="eastAsia"/>
                <w:color w:val="auto"/>
                <w:lang w:val="en-US" w:eastAsia="zh-CN"/>
              </w:rPr>
              <w:t>2、施工机械及运输车辆尾气</w:t>
            </w:r>
          </w:p>
          <w:p>
            <w:pPr>
              <w:spacing w:line="360" w:lineRule="auto"/>
              <w:ind w:firstLine="420" w:firstLineChars="200"/>
              <w:rPr>
                <w:color w:val="auto"/>
              </w:rPr>
            </w:pPr>
            <w:r>
              <w:rPr>
                <w:rFonts w:hint="eastAsia"/>
                <w:color w:val="auto"/>
                <w:lang w:val="en-US" w:eastAsia="zh-CN"/>
              </w:rPr>
              <w:t>施工过程中废气主要来源于施工机械和运输车辆等排放的废气，主要污染物为</w:t>
            </w:r>
            <w:r>
              <w:rPr>
                <w:rFonts w:hint="default"/>
                <w:color w:val="auto"/>
                <w:lang w:val="en-US" w:eastAsia="zh-CN"/>
              </w:rPr>
              <w:t>NOX</w:t>
            </w:r>
            <w:r>
              <w:rPr>
                <w:rFonts w:hint="eastAsia"/>
                <w:color w:val="auto"/>
                <w:lang w:val="en-US" w:eastAsia="zh-CN"/>
              </w:rPr>
              <w:t>、</w:t>
            </w:r>
            <w:r>
              <w:rPr>
                <w:rFonts w:hint="default"/>
                <w:color w:val="auto"/>
                <w:lang w:val="en-US" w:eastAsia="zh-CN"/>
              </w:rPr>
              <w:t>CO</w:t>
            </w:r>
            <w:r>
              <w:rPr>
                <w:rFonts w:hint="eastAsia"/>
                <w:color w:val="auto"/>
                <w:lang w:val="en-US" w:eastAsia="zh-CN"/>
              </w:rPr>
              <w:t>及</w:t>
            </w:r>
            <w:r>
              <w:rPr>
                <w:rFonts w:hint="default"/>
                <w:color w:val="auto"/>
                <w:lang w:val="en-US" w:eastAsia="zh-CN"/>
              </w:rPr>
              <w:t>THC</w:t>
            </w:r>
            <w:r>
              <w:rPr>
                <w:rFonts w:hint="eastAsia"/>
                <w:color w:val="auto"/>
                <w:lang w:val="en-US" w:eastAsia="zh-CN"/>
              </w:rPr>
              <w:t>等，属于无组织排放。施工过程中应加强施工机械和车辆的维护保养，对施工过程中非道路移动机械用柴油机废气排放执行并满足《非道路移动机械用柴油机排气污染物排放限值及测量方法</w:t>
            </w:r>
            <w:r>
              <w:rPr>
                <w:color w:val="auto"/>
              </w:rPr>
              <w:t>（中国第三、四阶段）</w:t>
            </w:r>
            <w:r>
              <w:rPr>
                <w:rFonts w:hint="eastAsia"/>
                <w:color w:val="auto"/>
                <w:lang w:val="en-US" w:eastAsia="zh-CN"/>
              </w:rPr>
              <w:t>》（</w:t>
            </w:r>
            <w:r>
              <w:rPr>
                <w:rFonts w:hint="default"/>
                <w:color w:val="auto"/>
                <w:lang w:val="en-US" w:eastAsia="zh-CN"/>
              </w:rPr>
              <w:t>GB20891-2014</w:t>
            </w:r>
            <w:r>
              <w:rPr>
                <w:rFonts w:hint="eastAsia"/>
                <w:color w:val="auto"/>
                <w:lang w:val="en-US" w:eastAsia="zh-CN"/>
              </w:rPr>
              <w:t>）要求。由于施工机械和运输车辆等排放的废气产生量较小，项目所在地较开阔，空气流动性好，废气扩散快，对当地的空气环境影响较小。</w:t>
            </w:r>
          </w:p>
          <w:p>
            <w:pPr>
              <w:spacing w:line="360" w:lineRule="auto"/>
              <w:ind w:firstLine="420" w:firstLineChars="200"/>
              <w:rPr>
                <w:color w:val="auto"/>
              </w:rPr>
            </w:pPr>
            <w:r>
              <w:rPr>
                <w:rFonts w:hint="eastAsia"/>
                <w:color w:val="auto"/>
                <w:lang w:val="en-US" w:eastAsia="zh-CN"/>
              </w:rPr>
              <w:t>总之，施工期采取围挡、篷布遮盖料场和运输车辆及时喷洒和清扫道路、绿化等措施后可明显减轻扬尘对环境的影响，随着施工的结束，污染及其影响随之停止。本项目施工产生的大气污染对该地区环境空气质量产生影响较小。</w:t>
            </w:r>
          </w:p>
          <w:p>
            <w:pPr>
              <w:spacing w:line="360" w:lineRule="auto"/>
              <w:jc w:val="left"/>
              <w:outlineLvl w:val="1"/>
              <w:rPr>
                <w:b/>
                <w:bCs/>
                <w:color w:val="auto"/>
              </w:rPr>
            </w:pPr>
            <w:r>
              <w:rPr>
                <w:b/>
                <w:bCs/>
                <w:color w:val="auto"/>
              </w:rPr>
              <w:t>三、水环境影响分析</w:t>
            </w:r>
          </w:p>
          <w:p>
            <w:pPr>
              <w:spacing w:line="360" w:lineRule="auto"/>
              <w:ind w:firstLine="420" w:firstLineChars="200"/>
              <w:rPr>
                <w:color w:val="auto"/>
              </w:rPr>
            </w:pPr>
            <w:r>
              <w:rPr>
                <w:color w:val="auto"/>
              </w:rPr>
              <w:t>（1）施工废水对水体环境的影响</w:t>
            </w:r>
          </w:p>
          <w:p>
            <w:pPr>
              <w:spacing w:line="360" w:lineRule="auto"/>
              <w:ind w:firstLine="420" w:firstLineChars="200"/>
              <w:rPr>
                <w:color w:val="auto"/>
              </w:rPr>
            </w:pPr>
            <w:r>
              <w:rPr>
                <w:color w:val="auto"/>
              </w:rPr>
              <w:t>混凝土生产过程有废水产生，以混凝土转筒和料罐的冲洗废水为主要的表现形式。混凝土生产废水的排放具有悬浮物浓度高、水量小、间歇集中排放等特点。根据有关资料，混凝土转筒和料罐每次冲洗生产的污水量约0.5m</w:t>
            </w:r>
            <w:r>
              <w:rPr>
                <w:color w:val="auto"/>
                <w:vertAlign w:val="superscript"/>
              </w:rPr>
              <w:t>3</w:t>
            </w:r>
            <w:r>
              <w:rPr>
                <w:color w:val="auto"/>
              </w:rPr>
              <w:t>，SS浓度约5000mg/L。</w:t>
            </w:r>
          </w:p>
          <w:p>
            <w:pPr>
              <w:spacing w:line="360" w:lineRule="auto"/>
              <w:ind w:firstLine="420" w:firstLineChars="200"/>
              <w:rPr>
                <w:color w:val="auto"/>
              </w:rPr>
            </w:pPr>
            <w:r>
              <w:rPr>
                <w:color w:val="auto"/>
              </w:rPr>
              <w:t>环评要求施工场地内设置沉淀池，收集</w:t>
            </w:r>
            <w:r>
              <w:rPr>
                <w:rFonts w:hint="eastAsia"/>
                <w:color w:val="auto"/>
                <w:lang w:val="en-US" w:eastAsia="zh-CN"/>
              </w:rPr>
              <w:t>混凝土生产、养护过程产生</w:t>
            </w:r>
            <w:r>
              <w:rPr>
                <w:color w:val="auto"/>
              </w:rPr>
              <w:t>的废水，经沉淀处理后，全部循环利用或用于施工场地洒水降尘，不外排，不会对沿线水环境质量产生明显的影响。</w:t>
            </w:r>
          </w:p>
          <w:p>
            <w:pPr>
              <w:spacing w:line="360" w:lineRule="auto"/>
              <w:ind w:firstLine="420" w:firstLineChars="200"/>
              <w:rPr>
                <w:color w:val="auto"/>
              </w:rPr>
            </w:pPr>
            <w:r>
              <w:rPr>
                <w:color w:val="auto"/>
              </w:rPr>
              <w:t>（2）建筑材料运输与堆放对水体环境的影响</w:t>
            </w:r>
          </w:p>
          <w:p>
            <w:pPr>
              <w:spacing w:line="360" w:lineRule="auto"/>
              <w:ind w:firstLine="420" w:firstLineChars="200"/>
              <w:rPr>
                <w:color w:val="auto"/>
              </w:rPr>
            </w:pPr>
            <w:r>
              <w:rPr>
                <w:color w:val="auto"/>
              </w:rPr>
              <w:t>施工材料如保管不善，被雨水冲刷而进入水体将会产生水环境污染。施工泥土被雨水冲入河流被雨水冲入河流，引起水体悬浮物偏高。</w:t>
            </w:r>
          </w:p>
          <w:p>
            <w:pPr>
              <w:spacing w:line="360" w:lineRule="auto"/>
              <w:ind w:firstLine="420" w:firstLineChars="200"/>
              <w:rPr>
                <w:color w:val="auto"/>
              </w:rPr>
            </w:pPr>
            <w:r>
              <w:rPr>
                <w:color w:val="auto"/>
              </w:rPr>
              <w:t>因此，在施工中应根据不同材料特点，有针对性的加强保护管理措施，尽量减小其对水环境的影响。</w:t>
            </w:r>
          </w:p>
          <w:p>
            <w:pPr>
              <w:spacing w:line="360" w:lineRule="auto"/>
              <w:ind w:firstLine="420" w:firstLineChars="200"/>
              <w:rPr>
                <w:color w:val="auto"/>
                <w:lang w:eastAsia="zh-CN"/>
              </w:rPr>
            </w:pPr>
            <w:r>
              <w:rPr>
                <w:color w:val="auto"/>
                <w:lang w:eastAsia="zh-CN"/>
              </w:rPr>
              <w:t>（</w:t>
            </w:r>
            <w:r>
              <w:rPr>
                <w:rFonts w:hint="eastAsia"/>
                <w:color w:val="auto"/>
                <w:lang w:val="en-US" w:eastAsia="zh-CN"/>
              </w:rPr>
              <w:t>3</w:t>
            </w:r>
            <w:r>
              <w:rPr>
                <w:color w:val="auto"/>
                <w:lang w:eastAsia="zh-CN"/>
              </w:rPr>
              <w:t>）危化品对地表水体影响分析</w:t>
            </w:r>
          </w:p>
          <w:p>
            <w:pPr>
              <w:spacing w:line="360" w:lineRule="auto"/>
              <w:ind w:firstLine="420" w:firstLineChars="200"/>
              <w:rPr>
                <w:color w:val="auto"/>
                <w:lang w:eastAsia="zh-CN"/>
              </w:rPr>
            </w:pPr>
            <w:r>
              <w:rPr>
                <w:color w:val="auto"/>
                <w:lang w:eastAsia="zh-CN"/>
              </w:rPr>
              <w:t>施工期间主要危化品为施工用的柴油、汽油、机油等。对地表水的影响主要是危化品的跑、冒、滴、漏以及临时油品储罐泄露对水体污染。</w:t>
            </w:r>
          </w:p>
          <w:p>
            <w:pPr>
              <w:spacing w:line="360" w:lineRule="auto"/>
              <w:ind w:firstLine="420" w:firstLineChars="200"/>
              <w:rPr>
                <w:color w:val="auto"/>
                <w:lang w:eastAsia="zh-CN"/>
              </w:rPr>
            </w:pPr>
            <w:r>
              <w:rPr>
                <w:color w:val="auto"/>
                <w:lang w:eastAsia="zh-CN"/>
              </w:rPr>
              <w:t>定期检查机械设备运行情况，保证运行状况完好，防止跑、冒、滴、漏现象发生；出现油污及时清理，防治油污随雨水流入河流，污染地表水；机械设备检修应设置废柴油、废机油收集装置，防止危化品流入河流水体，污染地表水。</w:t>
            </w:r>
          </w:p>
          <w:p>
            <w:pPr>
              <w:spacing w:line="360" w:lineRule="auto"/>
              <w:ind w:firstLine="420" w:firstLineChars="200"/>
              <w:rPr>
                <w:color w:val="auto"/>
                <w:lang w:eastAsia="zh-CN"/>
              </w:rPr>
            </w:pPr>
            <w:r>
              <w:rPr>
                <w:color w:val="auto"/>
                <w:lang w:eastAsia="zh-CN"/>
              </w:rPr>
              <w:t>采取上述措施后对</w:t>
            </w:r>
            <w:r>
              <w:rPr>
                <w:rFonts w:hint="eastAsia"/>
                <w:color w:val="auto"/>
                <w:lang w:val="en-US" w:eastAsia="zh-CN"/>
              </w:rPr>
              <w:t>岚河</w:t>
            </w:r>
            <w:r>
              <w:rPr>
                <w:color w:val="auto"/>
                <w:lang w:eastAsia="zh-CN"/>
              </w:rPr>
              <w:t>水体环境质量产生影响</w:t>
            </w:r>
            <w:r>
              <w:rPr>
                <w:rFonts w:hint="eastAsia"/>
                <w:color w:val="auto"/>
                <w:lang w:val="en-US" w:eastAsia="zh-CN"/>
              </w:rPr>
              <w:t>很小</w:t>
            </w:r>
            <w:r>
              <w:rPr>
                <w:color w:val="auto"/>
                <w:lang w:eastAsia="zh-CN"/>
              </w:rPr>
              <w:t>。</w:t>
            </w:r>
          </w:p>
          <w:p>
            <w:pPr>
              <w:autoSpaceDE w:val="0"/>
              <w:autoSpaceDN w:val="0"/>
              <w:spacing w:line="360" w:lineRule="auto"/>
              <w:ind w:firstLine="420" w:firstLineChars="200"/>
              <w:rPr>
                <w:color w:val="auto"/>
              </w:rPr>
            </w:pPr>
            <w:r>
              <w:rPr>
                <w:color w:val="auto"/>
              </w:rPr>
              <w:t>（</w:t>
            </w:r>
            <w:r>
              <w:rPr>
                <w:rFonts w:hint="eastAsia"/>
                <w:color w:val="auto"/>
                <w:lang w:val="en-US" w:eastAsia="zh-CN"/>
              </w:rPr>
              <w:t>4</w:t>
            </w:r>
            <w:r>
              <w:rPr>
                <w:color w:val="auto"/>
              </w:rPr>
              <w:t>）生活污水影响分析</w:t>
            </w:r>
          </w:p>
          <w:p>
            <w:pPr>
              <w:autoSpaceDE w:val="0"/>
              <w:autoSpaceDN w:val="0"/>
              <w:spacing w:line="360" w:lineRule="auto"/>
              <w:ind w:firstLine="420" w:firstLineChars="200"/>
              <w:rPr>
                <w:rFonts w:hint="eastAsia"/>
                <w:color w:val="auto"/>
                <w:lang w:eastAsia="zh-CN"/>
              </w:rPr>
            </w:pPr>
            <w:r>
              <w:rPr>
                <w:color w:val="auto"/>
              </w:rPr>
              <w:t>施工期间高峰期施工人员按45人计，平均每人用水量70L/d，则施工期间产生的生活污水总量约45×0.07×0.80=2.52m</w:t>
            </w:r>
            <w:r>
              <w:rPr>
                <w:color w:val="auto"/>
                <w:vertAlign w:val="superscript"/>
              </w:rPr>
              <w:t>3</w:t>
            </w:r>
            <w:r>
              <w:rPr>
                <w:color w:val="auto"/>
              </w:rPr>
              <w:t>/d；生活污水中主要污染因子为COD、氨氮等</w:t>
            </w:r>
            <w:r>
              <w:rPr>
                <w:rFonts w:hint="eastAsia"/>
                <w:color w:val="auto"/>
                <w:lang w:eastAsia="zh-CN"/>
              </w:rPr>
              <w:t>。</w:t>
            </w:r>
          </w:p>
          <w:p>
            <w:pPr>
              <w:autoSpaceDE w:val="0"/>
              <w:autoSpaceDN w:val="0"/>
              <w:spacing w:line="360" w:lineRule="auto"/>
              <w:ind w:firstLine="420" w:firstLineChars="200"/>
              <w:rPr>
                <w:color w:val="auto"/>
              </w:rPr>
            </w:pPr>
            <w:r>
              <w:rPr>
                <w:rFonts w:hint="eastAsia"/>
                <w:color w:val="auto"/>
                <w:lang w:val="en-US" w:eastAsia="zh-CN"/>
              </w:rPr>
              <w:t>本项目现场不设施工营地，租赁当地民房用于办公和住宿，工人在附近街道餐馆解决就餐问题</w:t>
            </w:r>
            <w:r>
              <w:rPr>
                <w:color w:val="auto"/>
              </w:rPr>
              <w:t>。生活洗漱污水泼洒地面，用于降尘，不外排。施工</w:t>
            </w:r>
            <w:r>
              <w:rPr>
                <w:rFonts w:hint="eastAsia"/>
                <w:color w:val="auto"/>
                <w:lang w:eastAsia="zh-CN"/>
              </w:rPr>
              <w:t>场地</w:t>
            </w:r>
            <w:r>
              <w:rPr>
                <w:color w:val="auto"/>
              </w:rPr>
              <w:t>周围应设置截排水沟，粪便污水</w:t>
            </w:r>
            <w:r>
              <w:rPr>
                <w:rFonts w:hint="eastAsia"/>
                <w:color w:val="auto"/>
                <w:lang w:eastAsia="zh-CN"/>
              </w:rPr>
              <w:t>设置临时移动环保厕所</w:t>
            </w:r>
            <w:r>
              <w:rPr>
                <w:color w:val="auto"/>
              </w:rPr>
              <w:t>处理，由当地农民定期清理后用作农肥，不外排。</w:t>
            </w:r>
          </w:p>
          <w:p>
            <w:pPr>
              <w:autoSpaceDE w:val="0"/>
              <w:autoSpaceDN w:val="0"/>
              <w:spacing w:line="360" w:lineRule="auto"/>
              <w:ind w:firstLine="420" w:firstLineChars="200"/>
              <w:rPr>
                <w:color w:val="auto"/>
              </w:rPr>
            </w:pPr>
            <w:r>
              <w:rPr>
                <w:color w:val="auto"/>
              </w:rPr>
              <w:t>总的来说，施工现场的生活污水仅限于施工期，相对时间较短，且排放较为分散，在采取一定处理措施的情况下，不会对线路沿线水环境质量产生明显的影响。</w:t>
            </w:r>
          </w:p>
          <w:p>
            <w:pPr>
              <w:autoSpaceDE w:val="0"/>
              <w:autoSpaceDN w:val="0"/>
              <w:spacing w:line="360" w:lineRule="auto"/>
              <w:ind w:firstLine="420" w:firstLineChars="200"/>
              <w:rPr>
                <w:color w:val="auto"/>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lang w:val="en-US" w:eastAsia="zh-CN"/>
              </w:rPr>
              <w:t>涉水施工对河道的扰动</w:t>
            </w:r>
          </w:p>
          <w:p>
            <w:pPr>
              <w:autoSpaceDE w:val="0"/>
              <w:autoSpaceDN w:val="0"/>
              <w:spacing w:line="360" w:lineRule="auto"/>
              <w:ind w:firstLine="420" w:firstLineChars="200"/>
              <w:rPr>
                <w:color w:val="auto"/>
              </w:rPr>
            </w:pPr>
            <w:r>
              <w:rPr>
                <w:rFonts w:hint="eastAsia"/>
                <w:color w:val="auto"/>
                <w:lang w:val="en-US" w:eastAsia="zh-CN"/>
              </w:rPr>
              <w:t>根据工程施工方案，部分堤防工程施工前首先需修建施工围堰，然后在围堰内进行旱地施工。围堰施工对河道水环境的影响主要体现在施工围堰的修筑和拆除等过程会扰动水体，故而会使局部水体中泥沙等悬浮物增加。</w:t>
            </w:r>
          </w:p>
          <w:p>
            <w:pPr>
              <w:autoSpaceDE w:val="0"/>
              <w:autoSpaceDN w:val="0"/>
              <w:spacing w:line="360" w:lineRule="auto"/>
              <w:ind w:firstLine="420" w:firstLineChars="200"/>
              <w:rPr>
                <w:rFonts w:hint="eastAsia" w:eastAsia="宋体"/>
                <w:color w:val="auto"/>
                <w:lang w:eastAsia="zh-CN"/>
              </w:rPr>
            </w:pPr>
            <w:r>
              <w:rPr>
                <w:rFonts w:hint="eastAsia"/>
                <w:color w:val="auto"/>
                <w:lang w:val="en-US" w:eastAsia="zh-CN"/>
              </w:rPr>
              <w:t>根据国内类似工程的监测资料，围堰施工作业点下游</w:t>
            </w:r>
            <w:r>
              <w:rPr>
                <w:rFonts w:hint="default"/>
                <w:color w:val="auto"/>
                <w:lang w:val="en-US" w:eastAsia="zh-CN"/>
              </w:rPr>
              <w:t>100m</w:t>
            </w:r>
            <w:r>
              <w:rPr>
                <w:rFonts w:hint="eastAsia"/>
                <w:color w:val="auto"/>
                <w:lang w:val="en-US" w:eastAsia="zh-CN"/>
              </w:rPr>
              <w:t>范围</w:t>
            </w:r>
            <w:r>
              <w:rPr>
                <w:rFonts w:hint="default"/>
                <w:color w:val="auto"/>
                <w:lang w:val="en-US" w:eastAsia="zh-CN"/>
              </w:rPr>
              <w:t>SS</w:t>
            </w:r>
            <w:r>
              <w:rPr>
                <w:rFonts w:hint="eastAsia"/>
                <w:color w:val="auto"/>
                <w:lang w:val="en-US" w:eastAsia="zh-CN"/>
              </w:rPr>
              <w:t>浓度增加较为明显（</w:t>
            </w:r>
            <w:r>
              <w:rPr>
                <w:rFonts w:hint="default"/>
                <w:color w:val="auto"/>
                <w:lang w:val="en-US" w:eastAsia="zh-CN"/>
              </w:rPr>
              <w:t>80mg/L</w:t>
            </w:r>
            <w:r>
              <w:rPr>
                <w:rFonts w:hint="eastAsia"/>
                <w:color w:val="auto"/>
                <w:lang w:val="en-US" w:eastAsia="zh-CN"/>
              </w:rPr>
              <w:t>以上），但随着距离的增加影响逐渐减小，在距施工作业点</w:t>
            </w:r>
            <w:r>
              <w:rPr>
                <w:rFonts w:hint="default"/>
                <w:color w:val="auto"/>
                <w:lang w:val="en-US" w:eastAsia="zh-CN"/>
              </w:rPr>
              <w:t>1km</w:t>
            </w:r>
            <w:r>
              <w:rPr>
                <w:rFonts w:hint="eastAsia"/>
                <w:color w:val="auto"/>
                <w:lang w:val="en-US" w:eastAsia="zh-CN"/>
              </w:rPr>
              <w:t>之外，</w:t>
            </w:r>
            <w:r>
              <w:rPr>
                <w:rFonts w:hint="default"/>
                <w:color w:val="auto"/>
                <w:lang w:val="en-US" w:eastAsia="zh-CN"/>
              </w:rPr>
              <w:t>SS</w:t>
            </w:r>
            <w:r>
              <w:rPr>
                <w:rFonts w:hint="eastAsia"/>
                <w:color w:val="auto"/>
                <w:lang w:val="en-US" w:eastAsia="zh-CN"/>
              </w:rPr>
              <w:t>浓度增加值低于</w:t>
            </w:r>
            <w:r>
              <w:rPr>
                <w:rFonts w:hint="default"/>
                <w:color w:val="auto"/>
                <w:lang w:val="en-US" w:eastAsia="zh-CN"/>
              </w:rPr>
              <w:t>4.13mg/L</w:t>
            </w:r>
            <w:r>
              <w:rPr>
                <w:rFonts w:hint="eastAsia"/>
                <w:color w:val="auto"/>
                <w:lang w:val="en-US" w:eastAsia="zh-CN"/>
              </w:rPr>
              <w:t>；随着围堰施工的结束，影响会很快消失，同时河道开挖在围堰内干河进行，对围堰外水体影响较小；由此可见围堰施工对河道</w:t>
            </w:r>
            <w:r>
              <w:rPr>
                <w:rFonts w:hint="default"/>
                <w:color w:val="auto"/>
                <w:lang w:val="en-US" w:eastAsia="zh-CN"/>
              </w:rPr>
              <w:t>SS</w:t>
            </w:r>
            <w:r>
              <w:rPr>
                <w:rFonts w:hint="eastAsia"/>
                <w:color w:val="auto"/>
                <w:lang w:val="en-US" w:eastAsia="zh-CN"/>
              </w:rPr>
              <w:t>浓度增加量较小，扩散范围有限，对河流水质的影响区域较小。随着施工的结束，对水体扰动的影响也随之消失。</w:t>
            </w:r>
          </w:p>
          <w:p>
            <w:pPr>
              <w:spacing w:line="360" w:lineRule="auto"/>
              <w:jc w:val="left"/>
              <w:outlineLvl w:val="1"/>
              <w:rPr>
                <w:b/>
                <w:bCs/>
                <w:color w:val="auto"/>
              </w:rPr>
            </w:pPr>
            <w:r>
              <w:rPr>
                <w:b/>
                <w:bCs/>
                <w:color w:val="auto"/>
              </w:rPr>
              <w:t>四、固体废物环境影响分析</w:t>
            </w:r>
          </w:p>
          <w:p>
            <w:pPr>
              <w:autoSpaceDE w:val="0"/>
              <w:autoSpaceDN w:val="0"/>
              <w:spacing w:line="360" w:lineRule="auto"/>
              <w:ind w:firstLine="420" w:firstLineChars="200"/>
              <w:rPr>
                <w:color w:val="auto"/>
              </w:rPr>
            </w:pPr>
            <w:r>
              <w:rPr>
                <w:color w:val="auto"/>
              </w:rPr>
              <w:t>公路施工过程中的固体废物主要包括施工人员生活垃圾和建筑垃圾等。</w:t>
            </w:r>
          </w:p>
          <w:p>
            <w:pPr>
              <w:autoSpaceDE w:val="0"/>
              <w:autoSpaceDN w:val="0"/>
              <w:spacing w:line="360" w:lineRule="auto"/>
              <w:ind w:firstLine="420" w:firstLineChars="200"/>
              <w:rPr>
                <w:color w:val="auto"/>
              </w:rPr>
            </w:pPr>
            <w:r>
              <w:rPr>
                <w:color w:val="auto"/>
              </w:rPr>
              <w:t>（1）生活垃圾对环境的影响</w:t>
            </w:r>
          </w:p>
          <w:p>
            <w:pPr>
              <w:autoSpaceDE w:val="0"/>
              <w:autoSpaceDN w:val="0"/>
              <w:spacing w:line="360" w:lineRule="auto"/>
              <w:ind w:firstLine="420" w:firstLineChars="200"/>
              <w:rPr>
                <w:color w:val="auto"/>
              </w:rPr>
            </w:pPr>
            <w:r>
              <w:rPr>
                <w:color w:val="auto"/>
              </w:rPr>
              <w:t>施工人员将产生一定量的生活垃圾，按</w:t>
            </w:r>
            <w:r>
              <w:rPr>
                <w:rFonts w:hint="eastAsia"/>
                <w:color w:val="auto"/>
                <w:lang w:val="en-US" w:eastAsia="zh-CN"/>
              </w:rPr>
              <w:t>45</w:t>
            </w:r>
            <w:r>
              <w:rPr>
                <w:color w:val="auto"/>
              </w:rPr>
              <w:t>人计算，施工人员每人每天产生的生活垃圾约1kg，产生的固体废物量约为</w:t>
            </w:r>
            <w:r>
              <w:rPr>
                <w:rFonts w:hint="eastAsia"/>
                <w:color w:val="auto"/>
                <w:lang w:val="en-US" w:eastAsia="zh-CN"/>
              </w:rPr>
              <w:t>45</w:t>
            </w:r>
            <w:r>
              <w:rPr>
                <w:color w:val="auto"/>
              </w:rPr>
              <w:t>kg/d。生活垃圾集中收集，定期交由相关部门清运至垃圾填埋场。</w:t>
            </w:r>
          </w:p>
          <w:p>
            <w:pPr>
              <w:autoSpaceDE w:val="0"/>
              <w:autoSpaceDN w:val="0"/>
              <w:spacing w:line="360" w:lineRule="auto"/>
              <w:ind w:firstLine="420" w:firstLineChars="200"/>
              <w:rPr>
                <w:color w:val="auto"/>
              </w:rPr>
            </w:pPr>
            <w:r>
              <w:rPr>
                <w:color w:val="auto"/>
              </w:rPr>
              <w:t>（2）建筑垃圾对环境的影响</w:t>
            </w:r>
          </w:p>
          <w:p>
            <w:pPr>
              <w:spacing w:line="360" w:lineRule="auto"/>
              <w:ind w:firstLine="482"/>
              <w:rPr>
                <w:color w:val="auto"/>
              </w:rPr>
            </w:pPr>
            <w:r>
              <w:rPr>
                <w:rFonts w:hint="eastAsia"/>
                <w:color w:val="auto"/>
                <w:lang w:val="en-US" w:eastAsia="zh-CN"/>
              </w:rPr>
              <w:t>施工过程会产生一定的建筑垃圾，主要有废弃的混凝土、废钢材、废模板等</w:t>
            </w:r>
            <w:r>
              <w:rPr>
                <w:color w:val="auto"/>
              </w:rPr>
              <w:t>。</w:t>
            </w:r>
            <w:r>
              <w:rPr>
                <w:rFonts w:hint="eastAsia"/>
                <w:color w:val="auto"/>
                <w:lang w:val="en-US" w:eastAsia="zh-CN"/>
              </w:rPr>
              <w:t>建筑垃圾</w:t>
            </w:r>
            <w:r>
              <w:rPr>
                <w:color w:val="auto"/>
              </w:rPr>
              <w:t>优先综合利用，不能利用的建筑垃圾的运至建筑垃圾填埋场，以减少对沿线生态环境和生活环境产生的不利影响。</w:t>
            </w:r>
          </w:p>
          <w:p>
            <w:pPr>
              <w:spacing w:line="360" w:lineRule="auto"/>
              <w:jc w:val="left"/>
              <w:outlineLvl w:val="1"/>
              <w:rPr>
                <w:b/>
                <w:bCs/>
                <w:color w:val="auto"/>
              </w:rPr>
            </w:pPr>
            <w:r>
              <w:rPr>
                <w:b/>
                <w:bCs/>
                <w:color w:val="auto"/>
              </w:rPr>
              <w:t>五、声环境影响分析</w:t>
            </w:r>
          </w:p>
          <w:p>
            <w:pPr>
              <w:spacing w:line="360" w:lineRule="auto"/>
              <w:ind w:firstLine="420" w:firstLineChars="200"/>
              <w:rPr>
                <w:color w:val="auto"/>
              </w:rPr>
            </w:pPr>
            <w:r>
              <w:rPr>
                <w:rFonts w:hint="eastAsia"/>
                <w:color w:val="auto"/>
                <w:lang w:val="en-US" w:eastAsia="zh-CN"/>
              </w:rPr>
              <w:t>（1）施工噪声</w:t>
            </w:r>
          </w:p>
          <w:p>
            <w:pPr>
              <w:spacing w:line="360" w:lineRule="auto"/>
              <w:ind w:firstLine="420" w:firstLineChars="200"/>
              <w:rPr>
                <w:color w:val="auto"/>
              </w:rPr>
            </w:pPr>
            <w:r>
              <w:rPr>
                <w:rFonts w:hint="eastAsia"/>
                <w:color w:val="auto"/>
                <w:lang w:val="en-US" w:eastAsia="zh-CN"/>
              </w:rPr>
              <w:t>施工期噪声主要可分为机械噪声、施工作业噪声和施工车辆噪声。噪声主要由施工所造成，如挖土、运输等，多为点声源；施工作业噪声主要指一些零星的敲打声、装卸车辆的撞击声、拆装模板的撞击声，多为瞬间噪声；施工车辆的噪声属于交通噪声。施工机械噪声级见表4-3。</w:t>
            </w:r>
          </w:p>
          <w:p>
            <w:pPr>
              <w:keepNext w:val="0"/>
              <w:keepLines w:val="0"/>
              <w:widowControl/>
              <w:suppressLineNumbers w:val="0"/>
              <w:jc w:val="center"/>
              <w:rPr>
                <w:rFonts w:hint="eastAsia"/>
                <w:color w:val="auto"/>
                <w:lang w:val="en-US" w:eastAsia="zh-CN"/>
              </w:rPr>
            </w:pPr>
            <w:r>
              <w:rPr>
                <w:color w:val="auto"/>
                <w:lang w:val="en-US" w:eastAsia="zh-CN"/>
              </w:rPr>
              <w:t>表</w:t>
            </w:r>
            <w:r>
              <w:rPr>
                <w:rFonts w:hint="eastAsia"/>
                <w:color w:val="auto"/>
                <w:lang w:val="en-US" w:eastAsia="zh-CN"/>
              </w:rPr>
              <w:t>4-3</w:t>
            </w:r>
            <w:r>
              <w:rPr>
                <w:color w:val="auto"/>
                <w:lang w:val="en-US" w:eastAsia="zh-CN"/>
              </w:rPr>
              <w:t xml:space="preserve"> </w:t>
            </w:r>
            <w:r>
              <w:rPr>
                <w:rFonts w:hint="eastAsia"/>
                <w:color w:val="auto"/>
                <w:lang w:val="en-US" w:eastAsia="zh-CN"/>
              </w:rPr>
              <w:t xml:space="preserve">   主要施工机械设备的噪声级</w:t>
            </w:r>
          </w:p>
          <w:tbl>
            <w:tblPr>
              <w:tblStyle w:val="19"/>
              <w:tblW w:w="8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2716"/>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vAlign w:val="center"/>
                </w:tcPr>
                <w:p>
                  <w:pPr>
                    <w:keepNext w:val="0"/>
                    <w:keepLines w:val="0"/>
                    <w:widowControl/>
                    <w:suppressLineNumbers w:val="0"/>
                    <w:jc w:val="center"/>
                    <w:rPr>
                      <w:color w:val="auto"/>
                    </w:rPr>
                  </w:pPr>
                  <w:r>
                    <w:rPr>
                      <w:rFonts w:hint="eastAsia"/>
                      <w:color w:val="auto"/>
                      <w:lang w:val="en-US" w:eastAsia="zh-CN"/>
                    </w:rPr>
                    <w:t>施工机械</w:t>
                  </w:r>
                </w:p>
              </w:tc>
              <w:tc>
                <w:tcPr>
                  <w:tcW w:w="2716" w:type="dxa"/>
                  <w:vAlign w:val="center"/>
                </w:tcPr>
                <w:p>
                  <w:pPr>
                    <w:keepNext w:val="0"/>
                    <w:keepLines w:val="0"/>
                    <w:widowControl/>
                    <w:suppressLineNumbers w:val="0"/>
                    <w:jc w:val="center"/>
                    <w:rPr>
                      <w:color w:val="auto"/>
                    </w:rPr>
                  </w:pPr>
                  <w:r>
                    <w:rPr>
                      <w:rFonts w:hint="eastAsia"/>
                      <w:color w:val="auto"/>
                      <w:lang w:val="en-US" w:eastAsia="zh-CN"/>
                    </w:rPr>
                    <w:t xml:space="preserve">测量声级 </w:t>
                  </w:r>
                  <w:r>
                    <w:rPr>
                      <w:rFonts w:hint="default"/>
                      <w:color w:val="auto"/>
                      <w:lang w:val="en-US" w:eastAsia="zh-CN"/>
                    </w:rPr>
                    <w:t>dB(A)</w:t>
                  </w:r>
                </w:p>
              </w:tc>
              <w:tc>
                <w:tcPr>
                  <w:tcW w:w="2716"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color w:val="auto"/>
                    </w:rPr>
                  </w:pPr>
                  <w:r>
                    <w:rPr>
                      <w:rFonts w:hint="eastAsia"/>
                      <w:color w:val="auto"/>
                      <w:lang w:val="en-US" w:eastAsia="zh-CN"/>
                    </w:rPr>
                    <w:t>测量距离（</w:t>
                  </w:r>
                  <w:r>
                    <w:rPr>
                      <w:rFonts w:hint="default"/>
                      <w:color w:val="auto"/>
                      <w:lang w:val="en-US" w:eastAsia="zh-CN"/>
                    </w:rPr>
                    <w:t>m</w:t>
                  </w: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5" w:type="dxa"/>
                  <w:vAlign w:val="center"/>
                </w:tcPr>
                <w:p>
                  <w:pPr>
                    <w:keepNext w:val="0"/>
                    <w:keepLines w:val="0"/>
                    <w:widowControl/>
                    <w:suppressLineNumbers w:val="0"/>
                    <w:jc w:val="center"/>
                    <w:rPr>
                      <w:color w:val="auto"/>
                    </w:rPr>
                  </w:pPr>
                  <w:r>
                    <w:rPr>
                      <w:rFonts w:hint="eastAsia"/>
                      <w:color w:val="auto"/>
                      <w:lang w:val="en-US" w:eastAsia="zh-CN"/>
                    </w:rPr>
                    <w:t>挖掘机</w:t>
                  </w:r>
                </w:p>
              </w:tc>
              <w:tc>
                <w:tcPr>
                  <w:tcW w:w="2716"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lang w:val="en-US" w:eastAsia="zh-CN"/>
                    </w:rPr>
                  </w:pPr>
                  <w:r>
                    <w:rPr>
                      <w:rFonts w:hint="eastAsia"/>
                      <w:color w:val="auto"/>
                      <w:lang w:val="en-US" w:eastAsia="zh-CN"/>
                    </w:rPr>
                    <w:t>84</w:t>
                  </w:r>
                </w:p>
              </w:tc>
              <w:tc>
                <w:tcPr>
                  <w:tcW w:w="2716"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lang w:val="en-US" w:eastAsia="zh-CN"/>
                    </w:rPr>
                  </w:pPr>
                  <w:r>
                    <w:rPr>
                      <w:rFonts w:hint="eastAsia"/>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color w:val="auto"/>
                    </w:rPr>
                  </w:pPr>
                  <w:r>
                    <w:rPr>
                      <w:rFonts w:hint="eastAsia"/>
                      <w:color w:val="auto"/>
                      <w:lang w:val="en-US" w:eastAsia="zh-CN"/>
                    </w:rPr>
                    <w:t>推土机</w:t>
                  </w:r>
                </w:p>
              </w:tc>
              <w:tc>
                <w:tcPr>
                  <w:tcW w:w="2716"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lang w:val="en-US" w:eastAsia="zh-CN"/>
                    </w:rPr>
                  </w:pPr>
                  <w:r>
                    <w:rPr>
                      <w:rFonts w:hint="eastAsia"/>
                      <w:color w:val="auto"/>
                      <w:lang w:val="en-US" w:eastAsia="zh-CN"/>
                    </w:rPr>
                    <w:t>86</w:t>
                  </w:r>
                </w:p>
              </w:tc>
              <w:tc>
                <w:tcPr>
                  <w:tcW w:w="2716"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lang w:val="en-US" w:eastAsia="zh-CN"/>
                    </w:rPr>
                  </w:pPr>
                  <w:r>
                    <w:rPr>
                      <w:rFonts w:hint="eastAsia"/>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color w:val="auto"/>
                    </w:rPr>
                  </w:pPr>
                  <w:r>
                    <w:rPr>
                      <w:rFonts w:hint="eastAsia"/>
                      <w:color w:val="auto"/>
                      <w:lang w:val="en-US" w:eastAsia="zh-CN"/>
                    </w:rPr>
                    <w:t>打夯机</w:t>
                  </w:r>
                </w:p>
              </w:tc>
              <w:tc>
                <w:tcPr>
                  <w:tcW w:w="2716"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lang w:val="en-US" w:eastAsia="zh-CN"/>
                    </w:rPr>
                  </w:pPr>
                  <w:r>
                    <w:rPr>
                      <w:rFonts w:hint="eastAsia"/>
                      <w:color w:val="auto"/>
                      <w:lang w:val="en-US" w:eastAsia="zh-CN"/>
                    </w:rPr>
                    <w:t>90</w:t>
                  </w:r>
                </w:p>
              </w:tc>
              <w:tc>
                <w:tcPr>
                  <w:tcW w:w="2716"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lang w:val="en-US" w:eastAsia="zh-CN"/>
                    </w:rPr>
                  </w:pPr>
                  <w:r>
                    <w:rPr>
                      <w:rFonts w:hint="eastAsia"/>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vAlign w:val="center"/>
                </w:tcPr>
                <w:p>
                  <w:pPr>
                    <w:keepNext w:val="0"/>
                    <w:keepLines w:val="0"/>
                    <w:widowControl/>
                    <w:suppressLineNumbers w:val="0"/>
                    <w:jc w:val="center"/>
                    <w:rPr>
                      <w:color w:val="auto"/>
                    </w:rPr>
                  </w:pPr>
                  <w:r>
                    <w:rPr>
                      <w:rFonts w:hint="eastAsia"/>
                      <w:color w:val="auto"/>
                      <w:lang w:val="en-US" w:eastAsia="zh-CN"/>
                    </w:rPr>
                    <w:t>搅拌机</w:t>
                  </w:r>
                </w:p>
              </w:tc>
              <w:tc>
                <w:tcPr>
                  <w:tcW w:w="2716"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lang w:val="en-US" w:eastAsia="zh-CN"/>
                    </w:rPr>
                  </w:pPr>
                  <w:r>
                    <w:rPr>
                      <w:rFonts w:hint="eastAsia"/>
                      <w:color w:val="auto"/>
                      <w:lang w:val="en-US" w:eastAsia="zh-CN"/>
                    </w:rPr>
                    <w:t>75</w:t>
                  </w:r>
                </w:p>
              </w:tc>
              <w:tc>
                <w:tcPr>
                  <w:tcW w:w="2716"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lang w:val="en-US" w:eastAsia="zh-CN"/>
                    </w:rPr>
                  </w:pPr>
                  <w:r>
                    <w:rPr>
                      <w:rFonts w:hint="eastAsia"/>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5" w:type="dxa"/>
                  <w:vAlign w:val="center"/>
                </w:tcPr>
                <w:p>
                  <w:pPr>
                    <w:keepNext w:val="0"/>
                    <w:keepLines w:val="0"/>
                    <w:widowControl/>
                    <w:suppressLineNumbers w:val="0"/>
                    <w:jc w:val="center"/>
                    <w:rPr>
                      <w:color w:val="auto"/>
                    </w:rPr>
                  </w:pPr>
                  <w:r>
                    <w:rPr>
                      <w:rFonts w:hint="eastAsia"/>
                      <w:color w:val="auto"/>
                      <w:lang w:val="en-US" w:eastAsia="zh-CN"/>
                    </w:rPr>
                    <w:t>起重机</w:t>
                  </w:r>
                </w:p>
              </w:tc>
              <w:tc>
                <w:tcPr>
                  <w:tcW w:w="2716"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lang w:val="en-US" w:eastAsia="zh-CN"/>
                    </w:rPr>
                  </w:pPr>
                  <w:r>
                    <w:rPr>
                      <w:rFonts w:hint="eastAsia"/>
                      <w:color w:val="auto"/>
                      <w:lang w:val="en-US" w:eastAsia="zh-CN"/>
                    </w:rPr>
                    <w:t>82</w:t>
                  </w:r>
                </w:p>
              </w:tc>
              <w:tc>
                <w:tcPr>
                  <w:tcW w:w="2716"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lang w:val="en-US" w:eastAsia="zh-CN"/>
                    </w:rPr>
                  </w:pPr>
                  <w:r>
                    <w:rPr>
                      <w:rFonts w:hint="eastAsia"/>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color w:val="auto"/>
                    </w:rPr>
                  </w:pPr>
                  <w:r>
                    <w:rPr>
                      <w:rFonts w:hint="eastAsia"/>
                      <w:color w:val="auto"/>
                      <w:lang w:val="en-US" w:eastAsia="zh-CN"/>
                    </w:rPr>
                    <w:t>铲土机</w:t>
                  </w:r>
                </w:p>
              </w:tc>
              <w:tc>
                <w:tcPr>
                  <w:tcW w:w="2716"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lang w:val="en-US" w:eastAsia="zh-CN"/>
                    </w:rPr>
                  </w:pPr>
                  <w:r>
                    <w:rPr>
                      <w:rFonts w:hint="eastAsia"/>
                      <w:color w:val="auto"/>
                      <w:lang w:val="en-US" w:eastAsia="zh-CN"/>
                    </w:rPr>
                    <w:t>88</w:t>
                  </w:r>
                </w:p>
              </w:tc>
              <w:tc>
                <w:tcPr>
                  <w:tcW w:w="2716"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lang w:val="en-US" w:eastAsia="zh-CN"/>
                    </w:rPr>
                  </w:pPr>
                  <w:r>
                    <w:rPr>
                      <w:rFonts w:hint="eastAsia"/>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vAlign w:val="center"/>
                </w:tcPr>
                <w:p>
                  <w:pPr>
                    <w:keepNext w:val="0"/>
                    <w:keepLines w:val="0"/>
                    <w:widowControl/>
                    <w:suppressLineNumbers w:val="0"/>
                    <w:jc w:val="center"/>
                    <w:rPr>
                      <w:color w:val="auto"/>
                    </w:rPr>
                  </w:pPr>
                  <w:r>
                    <w:rPr>
                      <w:rFonts w:hint="eastAsia"/>
                      <w:color w:val="auto"/>
                      <w:lang w:val="en-US" w:eastAsia="zh-CN"/>
                    </w:rPr>
                    <w:t>自卸汽车</w:t>
                  </w:r>
                </w:p>
              </w:tc>
              <w:tc>
                <w:tcPr>
                  <w:tcW w:w="2716"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lang w:val="en-US" w:eastAsia="zh-CN"/>
                    </w:rPr>
                  </w:pPr>
                  <w:r>
                    <w:rPr>
                      <w:rFonts w:hint="eastAsia"/>
                      <w:color w:val="auto"/>
                      <w:lang w:val="en-US" w:eastAsia="zh-CN"/>
                    </w:rPr>
                    <w:t>82</w:t>
                  </w:r>
                </w:p>
              </w:tc>
              <w:tc>
                <w:tcPr>
                  <w:tcW w:w="2716"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lang w:val="en-US" w:eastAsia="zh-CN"/>
                    </w:rPr>
                  </w:pPr>
                  <w:r>
                    <w:rPr>
                      <w:rFonts w:hint="eastAsia"/>
                      <w:color w:val="auto"/>
                      <w:lang w:val="en-US" w:eastAsia="zh-CN"/>
                    </w:rPr>
                    <w:t>5</w:t>
                  </w:r>
                </w:p>
              </w:tc>
            </w:tr>
          </w:tbl>
          <w:p>
            <w:pPr>
              <w:spacing w:line="360" w:lineRule="auto"/>
              <w:ind w:firstLine="420" w:firstLineChars="200"/>
              <w:rPr>
                <w:rFonts w:hint="eastAsia"/>
                <w:color w:val="auto"/>
                <w:lang w:val="en-US" w:eastAsia="zh-CN"/>
              </w:rPr>
            </w:pPr>
            <w:r>
              <w:rPr>
                <w:rFonts w:hint="eastAsia"/>
                <w:color w:val="auto"/>
                <w:lang w:val="en-US" w:eastAsia="zh-CN"/>
              </w:rPr>
              <w:t xml:space="preserve">（2）影响预测 </w:t>
            </w:r>
          </w:p>
          <w:p>
            <w:pPr>
              <w:spacing w:line="360" w:lineRule="auto"/>
              <w:ind w:firstLine="420" w:firstLineChars="200"/>
              <w:rPr>
                <w:rFonts w:hint="eastAsia"/>
                <w:color w:val="auto"/>
                <w:lang w:val="en-US" w:eastAsia="zh-CN"/>
              </w:rPr>
            </w:pPr>
            <w:r>
              <w:rPr>
                <w:rFonts w:hint="eastAsia"/>
                <w:color w:val="auto"/>
                <w:lang w:val="en-US" w:eastAsia="zh-CN"/>
              </w:rPr>
              <w:t>在不考虑声传播过程中屏障隔声、空气吸收、地面吸收等引起的声衰减前提下，利用室外点声源几何发散衰减模式，估算声源不同距离处的噪声值，预测模式如下：</w:t>
            </w:r>
          </w:p>
          <w:p>
            <w:pPr>
              <w:spacing w:line="360" w:lineRule="auto"/>
              <w:ind w:firstLine="420" w:firstLineChars="200"/>
              <w:rPr>
                <w:rFonts w:hint="eastAsia"/>
                <w:color w:val="auto"/>
                <w:lang w:val="en-US" w:eastAsia="zh-CN"/>
              </w:rPr>
            </w:pPr>
            <w:r>
              <w:rPr>
                <w:rFonts w:hint="eastAsia"/>
                <w:color w:val="auto"/>
                <w:lang w:val="en-US" w:eastAsia="zh-CN"/>
              </w:rPr>
              <w:t>计算公式：</w:t>
            </w:r>
            <w:r>
              <w:rPr>
                <w:rFonts w:hint="eastAsia"/>
                <w:color w:val="auto"/>
                <w:position w:val="-14"/>
                <w:lang w:val="en-US" w:eastAsia="zh-CN"/>
              </w:rPr>
              <w:object>
                <v:shape id="_x0000_i1025" o:spt="75" type="#_x0000_t75" style="height:19pt;width:134pt;" o:ole="t" filled="f" o:preferrelative="t" stroked="f" coordsize="21600,21600">
                  <v:path/>
                  <v:fill on="f" focussize="0,0"/>
                  <v:stroke on="f"/>
                  <v:imagedata r:id="rId17" o:title=""/>
                  <o:lock v:ext="edit" aspectratio="t"/>
                  <w10:wrap type="none"/>
                  <w10:anchorlock/>
                </v:shape>
                <o:OLEObject Type="Embed" ProgID="Equation.KSEE3" ShapeID="_x0000_i1025" DrawAspect="Content" ObjectID="_1468075725" r:id="rId16">
                  <o:LockedField>false</o:LockedField>
                </o:OLEObject>
              </w:objec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color w:val="auto"/>
                <w:lang w:val="en-US" w:eastAsia="zh-CN"/>
              </w:rPr>
              <w:t>式中：</w:t>
            </w:r>
            <w:r>
              <w:rPr>
                <w:rFonts w:hint="eastAsia"/>
                <w:color w:val="auto"/>
                <w:position w:val="-12"/>
                <w:sz w:val="21"/>
                <w:szCs w:val="21"/>
                <w:lang w:val="en-US" w:eastAsia="zh-CN"/>
              </w:rPr>
              <w:object>
                <v:shape id="_x0000_i1026" o:spt="75" type="#_x0000_t75" style="height:18pt;width:29pt;" o:ole="t" filled="f" o:preferrelative="t" stroked="f" coordsize="21600,21600">
                  <v:path/>
                  <v:fill on="f" focussize="0,0"/>
                  <v:stroke on="f"/>
                  <v:imagedata r:id="rId19" o:title=""/>
                  <o:lock v:ext="edit" aspectratio="t"/>
                  <w10:wrap type="none"/>
                  <w10:anchorlock/>
                </v:shape>
                <o:OLEObject Type="Embed" ProgID="Equation.KSEE3" ShapeID="_x0000_i1026" DrawAspect="Content" ObjectID="_1468075726" r:id="rId18">
                  <o:LockedField>false</o:LockedField>
                </o:OLEObject>
              </w:object>
            </w:r>
            <w:r>
              <w:rPr>
                <w:rFonts w:hint="eastAsia"/>
                <w:color w:val="auto"/>
                <w:sz w:val="21"/>
                <w:szCs w:val="21"/>
                <w:lang w:val="en-US" w:eastAsia="zh-CN"/>
              </w:rPr>
              <w:t>--</w:t>
            </w:r>
            <w:r>
              <w:rPr>
                <w:rFonts w:hint="eastAsia" w:ascii="宋体" w:hAnsi="宋体" w:eastAsia="宋体" w:cs="宋体"/>
                <w:color w:val="auto"/>
                <w:kern w:val="0"/>
                <w:sz w:val="21"/>
                <w:szCs w:val="21"/>
                <w:lang w:val="en-US" w:eastAsia="zh-CN" w:bidi="ar"/>
              </w:rPr>
              <w:t xml:space="preserve">距声源 </w:t>
            </w:r>
            <w:r>
              <w:rPr>
                <w:rFonts w:hint="eastAsia" w:ascii="宋体" w:hAnsi="宋体" w:eastAsia="宋体" w:cs="宋体"/>
                <w:i/>
                <w:iCs/>
                <w:color w:val="auto"/>
                <w:kern w:val="0"/>
                <w:sz w:val="21"/>
                <w:szCs w:val="21"/>
                <w:lang w:val="en-US" w:eastAsia="zh-CN" w:bidi="ar"/>
              </w:rPr>
              <w:t>r</w:t>
            </w:r>
            <w:r>
              <w:rPr>
                <w:rFonts w:hint="eastAsia" w:ascii="宋体" w:hAnsi="宋体" w:eastAsia="宋体" w:cs="宋体"/>
                <w:color w:val="auto"/>
                <w:kern w:val="0"/>
                <w:sz w:val="21"/>
                <w:szCs w:val="21"/>
                <w:lang w:val="en-US" w:eastAsia="zh-CN" w:bidi="ar"/>
              </w:rPr>
              <w:t xml:space="preserve"> 米处的 A 声级 dB(A)；</w:t>
            </w:r>
          </w:p>
          <w:p>
            <w:pPr>
              <w:pStyle w:val="2"/>
              <w:ind w:firstLine="1050" w:firstLineChars="500"/>
              <w:rPr>
                <w:color w:val="auto"/>
              </w:rPr>
            </w:pPr>
            <w:r>
              <w:rPr>
                <w:rFonts w:hint="eastAsia"/>
                <w:color w:val="auto"/>
                <w:position w:val="-14"/>
                <w:sz w:val="21"/>
                <w:szCs w:val="21"/>
                <w:lang w:val="en-US" w:eastAsia="zh-CN"/>
              </w:rPr>
              <w:object>
                <v:shape id="_x0000_i1027" o:spt="75" type="#_x0000_t75" style="height:19pt;width:30pt;" o:ole="t" filled="f" o:preferrelative="t" stroked="f" coordsize="21600,21600">
                  <v:path/>
                  <v:fill on="f" focussize="0,0"/>
                  <v:stroke on="f"/>
                  <v:imagedata r:id="rId21" o:title=""/>
                  <o:lock v:ext="edit" aspectratio="t"/>
                  <w10:wrap type="none"/>
                  <w10:anchorlock/>
                </v:shape>
                <o:OLEObject Type="Embed" ProgID="Equation.KSEE3" ShapeID="_x0000_i1027" DrawAspect="Content" ObjectID="_1468075727" r:id="rId20">
                  <o:LockedField>false</o:LockedField>
                </o:OLEObject>
              </w:object>
            </w:r>
            <w:r>
              <w:rPr>
                <w:rFonts w:hint="eastAsia"/>
                <w:color w:val="auto"/>
                <w:sz w:val="21"/>
                <w:szCs w:val="21"/>
                <w:lang w:val="en-US" w:eastAsia="zh-CN"/>
              </w:rPr>
              <w:t>--</w:t>
            </w:r>
            <w:r>
              <w:rPr>
                <w:rFonts w:hint="eastAsia" w:ascii="宋体" w:hAnsi="宋体" w:eastAsia="宋体" w:cs="宋体"/>
                <w:color w:val="auto"/>
                <w:kern w:val="0"/>
                <w:sz w:val="21"/>
                <w:szCs w:val="21"/>
                <w:lang w:val="en-US" w:eastAsia="zh-CN" w:bidi="ar"/>
              </w:rPr>
              <w:t xml:space="preserve">距声源 </w:t>
            </w:r>
            <w:r>
              <w:rPr>
                <w:rFonts w:hint="eastAsia" w:ascii="宋体" w:hAnsi="宋体" w:eastAsia="宋体" w:cs="宋体"/>
                <w:i/>
                <w:iCs/>
                <w:color w:val="auto"/>
                <w:kern w:val="0"/>
                <w:sz w:val="21"/>
                <w:szCs w:val="21"/>
                <w:lang w:val="en-US" w:eastAsia="zh-CN" w:bidi="ar"/>
              </w:rPr>
              <w:t>r</w:t>
            </w:r>
            <w:r>
              <w:rPr>
                <w:rFonts w:hint="eastAsia" w:ascii="宋体" w:hAnsi="宋体" w:cs="宋体"/>
                <w:i w:val="0"/>
                <w:iCs w:val="0"/>
                <w:color w:val="auto"/>
                <w:kern w:val="0"/>
                <w:sz w:val="21"/>
                <w:szCs w:val="21"/>
                <w:vertAlign w:val="subscript"/>
                <w:lang w:val="en-US" w:eastAsia="zh-CN" w:bidi="ar"/>
              </w:rPr>
              <w:t>0</w:t>
            </w:r>
            <w:r>
              <w:rPr>
                <w:rFonts w:hint="eastAsia" w:ascii="宋体" w:hAnsi="宋体" w:eastAsia="宋体" w:cs="宋体"/>
                <w:color w:val="auto"/>
                <w:kern w:val="0"/>
                <w:sz w:val="21"/>
                <w:szCs w:val="21"/>
                <w:lang w:val="en-US" w:eastAsia="zh-CN" w:bidi="ar"/>
              </w:rPr>
              <w:t xml:space="preserve"> 米处的 A 声级 dB(A)；</w:t>
            </w:r>
          </w:p>
          <w:p>
            <w:pPr>
              <w:keepNext w:val="0"/>
              <w:keepLines w:val="0"/>
              <w:widowControl/>
              <w:suppressLineNumbers w:val="0"/>
              <w:ind w:firstLine="1050" w:firstLineChars="500"/>
              <w:jc w:val="left"/>
              <w:rPr>
                <w:color w:val="auto"/>
                <w:sz w:val="21"/>
                <w:szCs w:val="21"/>
              </w:rPr>
            </w:pPr>
            <w:r>
              <w:rPr>
                <w:rFonts w:hint="eastAsia" w:ascii="宋体" w:hAnsi="宋体" w:eastAsia="宋体" w:cs="宋体"/>
                <w:i/>
                <w:iCs/>
                <w:color w:val="auto"/>
                <w:kern w:val="0"/>
                <w:sz w:val="21"/>
                <w:szCs w:val="21"/>
                <w:lang w:val="en-US" w:eastAsia="zh-CN" w:bidi="ar"/>
              </w:rPr>
              <w:t>r</w:t>
            </w:r>
            <w:r>
              <w:rPr>
                <w:rFonts w:hint="eastAsia" w:ascii="宋体" w:hAnsi="宋体" w:cs="宋体"/>
                <w:i/>
                <w:iCs/>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噪声源距受声点的距离，m。</w:t>
            </w:r>
          </w:p>
          <w:p>
            <w:pPr>
              <w:spacing w:line="360" w:lineRule="auto"/>
              <w:ind w:firstLine="420" w:firstLineChars="200"/>
              <w:rPr>
                <w:rFonts w:hint="eastAsia"/>
                <w:color w:val="auto"/>
                <w:lang w:val="en-US" w:eastAsia="zh-CN"/>
              </w:rPr>
            </w:pPr>
            <w:r>
              <w:rPr>
                <w:rFonts w:hint="eastAsia"/>
                <w:color w:val="auto"/>
                <w:lang w:val="en-US" w:eastAsia="zh-CN"/>
              </w:rPr>
              <w:t>通过上述预测模式，施工设备噪声随距离衰减结果见表4-4。</w:t>
            </w:r>
          </w:p>
          <w:p>
            <w:pPr>
              <w:keepNext w:val="0"/>
              <w:keepLines w:val="0"/>
              <w:widowControl/>
              <w:suppressLineNumbers w:val="0"/>
              <w:wordWrap w:val="0"/>
              <w:jc w:val="right"/>
              <w:rPr>
                <w:rFonts w:hint="default"/>
                <w:color w:val="auto"/>
                <w:sz w:val="21"/>
                <w:szCs w:val="21"/>
                <w:lang w:val="en-US"/>
              </w:rPr>
            </w:pPr>
            <w:r>
              <w:rPr>
                <w:rFonts w:ascii="黑体" w:hAnsi="宋体" w:eastAsia="黑体" w:cs="黑体"/>
                <w:color w:val="auto"/>
                <w:kern w:val="0"/>
                <w:sz w:val="21"/>
                <w:szCs w:val="21"/>
                <w:lang w:val="en-US" w:eastAsia="zh-CN" w:bidi="ar"/>
              </w:rPr>
              <w:t>表</w:t>
            </w:r>
            <w:r>
              <w:rPr>
                <w:rFonts w:hint="eastAsia" w:ascii="黑体" w:hAnsi="宋体" w:eastAsia="黑体" w:cs="黑体"/>
                <w:color w:val="auto"/>
                <w:kern w:val="0"/>
                <w:sz w:val="21"/>
                <w:szCs w:val="21"/>
                <w:lang w:val="en-US" w:eastAsia="zh-CN" w:bidi="ar"/>
              </w:rPr>
              <w:t xml:space="preserve">4-4     </w:t>
            </w:r>
            <w:r>
              <w:rPr>
                <w:rFonts w:ascii="黑体" w:hAnsi="宋体" w:eastAsia="黑体" w:cs="黑体"/>
                <w:color w:val="auto"/>
                <w:kern w:val="0"/>
                <w:sz w:val="21"/>
                <w:szCs w:val="21"/>
                <w:lang w:val="en-US" w:eastAsia="zh-CN" w:bidi="ar"/>
              </w:rPr>
              <w:t>施工期主要噪声源统计</w:t>
            </w:r>
            <w:r>
              <w:rPr>
                <w:rFonts w:hint="default" w:ascii="Times New Roman" w:hAnsi="Times New Roman" w:eastAsia="黑体" w:cs="Times New Roman"/>
                <w:color w:val="auto"/>
                <w:kern w:val="0"/>
                <w:sz w:val="21"/>
                <w:szCs w:val="21"/>
                <w:lang w:val="en-US" w:eastAsia="zh-CN" w:bidi="ar"/>
              </w:rPr>
              <w:t xml:space="preserve">表             单位：dB(A) </w:t>
            </w:r>
          </w:p>
          <w:tbl>
            <w:tblPr>
              <w:tblStyle w:val="18"/>
              <w:tblpPr w:leftFromText="180" w:rightFromText="180" w:vertAnchor="text" w:horzAnchor="page" w:tblpXSpec="center" w:tblpY="34"/>
              <w:tblOverlap w:val="never"/>
              <w:tblW w:w="8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517"/>
              <w:gridCol w:w="540"/>
              <w:gridCol w:w="540"/>
              <w:gridCol w:w="600"/>
              <w:gridCol w:w="615"/>
              <w:gridCol w:w="660"/>
              <w:gridCol w:w="720"/>
              <w:gridCol w:w="645"/>
              <w:gridCol w:w="690"/>
              <w:gridCol w:w="721"/>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77"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宋体"/>
                      <w:bCs/>
                      <w:color w:val="auto"/>
                      <w:kern w:val="0"/>
                      <w:szCs w:val="21"/>
                      <w:lang w:eastAsia="zh-CN"/>
                    </w:rPr>
                  </w:pPr>
                  <w:r>
                    <w:rPr>
                      <w:rFonts w:hint="eastAsia" w:ascii="Times New Roman" w:hAnsi="Times New Roman"/>
                      <w:bCs/>
                      <w:color w:val="auto"/>
                      <w:kern w:val="0"/>
                      <w:szCs w:val="21"/>
                      <w:lang w:val="en-US" w:eastAsia="zh-CN"/>
                    </w:rPr>
                    <w:t>距离（m）</w:t>
                  </w:r>
                </w:p>
              </w:tc>
              <w:tc>
                <w:tcPr>
                  <w:tcW w:w="517" w:type="dxa"/>
                  <w:vMerge w:val="restart"/>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bCs/>
                      <w:color w:val="auto"/>
                      <w:kern w:val="0"/>
                      <w:szCs w:val="21"/>
                    </w:rPr>
                  </w:pPr>
                  <w:r>
                    <w:rPr>
                      <w:rFonts w:ascii="Times New Roman" w:hAnsi="Times New Roman"/>
                      <w:bCs/>
                      <w:color w:val="auto"/>
                      <w:kern w:val="0"/>
                      <w:szCs w:val="21"/>
                    </w:rPr>
                    <w:t>5</w:t>
                  </w:r>
                </w:p>
              </w:tc>
              <w:tc>
                <w:tcPr>
                  <w:tcW w:w="540" w:type="dxa"/>
                  <w:vMerge w:val="restart"/>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bCs/>
                      <w:color w:val="auto"/>
                      <w:kern w:val="0"/>
                      <w:szCs w:val="21"/>
                    </w:rPr>
                  </w:pPr>
                  <w:r>
                    <w:rPr>
                      <w:rFonts w:ascii="Times New Roman" w:hAnsi="Times New Roman"/>
                      <w:bCs/>
                      <w:color w:val="auto"/>
                      <w:kern w:val="0"/>
                      <w:szCs w:val="21"/>
                    </w:rPr>
                    <w:t>10</w:t>
                  </w:r>
                </w:p>
              </w:tc>
              <w:tc>
                <w:tcPr>
                  <w:tcW w:w="540" w:type="dxa"/>
                  <w:vMerge w:val="restart"/>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bCs/>
                      <w:color w:val="auto"/>
                      <w:kern w:val="0"/>
                      <w:szCs w:val="21"/>
                    </w:rPr>
                  </w:pPr>
                  <w:r>
                    <w:rPr>
                      <w:rFonts w:hint="eastAsia" w:ascii="Times New Roman" w:hAnsi="Times New Roman"/>
                      <w:bCs/>
                      <w:color w:val="auto"/>
                      <w:kern w:val="0"/>
                      <w:szCs w:val="21"/>
                      <w:lang w:val="en-US" w:eastAsia="zh-CN"/>
                    </w:rPr>
                    <w:t>5</w:t>
                  </w:r>
                  <w:r>
                    <w:rPr>
                      <w:rFonts w:ascii="Times New Roman" w:hAnsi="Times New Roman"/>
                      <w:bCs/>
                      <w:color w:val="auto"/>
                      <w:kern w:val="0"/>
                      <w:szCs w:val="21"/>
                    </w:rPr>
                    <w:t>0</w:t>
                  </w:r>
                </w:p>
              </w:tc>
              <w:tc>
                <w:tcPr>
                  <w:tcW w:w="600" w:type="dxa"/>
                  <w:vMerge w:val="restart"/>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bCs/>
                      <w:color w:val="auto"/>
                      <w:kern w:val="0"/>
                      <w:szCs w:val="21"/>
                    </w:rPr>
                  </w:pPr>
                  <w:r>
                    <w:rPr>
                      <w:rFonts w:hint="eastAsia" w:ascii="Times New Roman" w:hAnsi="Times New Roman"/>
                      <w:bCs/>
                      <w:color w:val="auto"/>
                      <w:kern w:val="0"/>
                      <w:szCs w:val="21"/>
                      <w:lang w:val="en-US" w:eastAsia="zh-CN"/>
                    </w:rPr>
                    <w:t>8</w:t>
                  </w:r>
                  <w:r>
                    <w:rPr>
                      <w:rFonts w:ascii="Times New Roman" w:hAnsi="Times New Roman"/>
                      <w:bCs/>
                      <w:color w:val="auto"/>
                      <w:kern w:val="0"/>
                      <w:szCs w:val="21"/>
                    </w:rPr>
                    <w:t>0</w:t>
                  </w:r>
                </w:p>
              </w:tc>
              <w:tc>
                <w:tcPr>
                  <w:tcW w:w="615" w:type="dxa"/>
                  <w:vMerge w:val="restart"/>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bCs/>
                      <w:color w:val="auto"/>
                      <w:kern w:val="0"/>
                      <w:szCs w:val="21"/>
                    </w:rPr>
                  </w:pPr>
                  <w:r>
                    <w:rPr>
                      <w:rFonts w:hint="eastAsia" w:ascii="Times New Roman" w:hAnsi="Times New Roman"/>
                      <w:bCs/>
                      <w:color w:val="auto"/>
                      <w:kern w:val="0"/>
                      <w:szCs w:val="21"/>
                      <w:lang w:val="en-US" w:eastAsia="zh-CN"/>
                    </w:rPr>
                    <w:t>10</w:t>
                  </w:r>
                  <w:r>
                    <w:rPr>
                      <w:rFonts w:ascii="Times New Roman" w:hAnsi="Times New Roman"/>
                      <w:bCs/>
                      <w:color w:val="auto"/>
                      <w:kern w:val="0"/>
                      <w:szCs w:val="21"/>
                    </w:rPr>
                    <w:t>0</w:t>
                  </w:r>
                </w:p>
              </w:tc>
              <w:tc>
                <w:tcPr>
                  <w:tcW w:w="660" w:type="dxa"/>
                  <w:vMerge w:val="restart"/>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bCs/>
                      <w:color w:val="auto"/>
                      <w:kern w:val="0"/>
                      <w:szCs w:val="21"/>
                    </w:rPr>
                  </w:pPr>
                  <w:r>
                    <w:rPr>
                      <w:rFonts w:hint="eastAsia" w:ascii="Times New Roman" w:hAnsi="Times New Roman"/>
                      <w:bCs/>
                      <w:color w:val="auto"/>
                      <w:kern w:val="0"/>
                      <w:szCs w:val="21"/>
                      <w:lang w:val="en-US" w:eastAsia="zh-CN"/>
                    </w:rPr>
                    <w:t>20</w:t>
                  </w:r>
                  <w:r>
                    <w:rPr>
                      <w:rFonts w:ascii="Times New Roman" w:hAnsi="Times New Roman"/>
                      <w:bCs/>
                      <w:color w:val="auto"/>
                      <w:kern w:val="0"/>
                      <w:szCs w:val="21"/>
                    </w:rPr>
                    <w:t>0</w:t>
                  </w:r>
                </w:p>
              </w:tc>
              <w:tc>
                <w:tcPr>
                  <w:tcW w:w="720" w:type="dxa"/>
                  <w:vMerge w:val="restart"/>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bCs/>
                      <w:color w:val="auto"/>
                      <w:kern w:val="0"/>
                      <w:szCs w:val="21"/>
                    </w:rPr>
                  </w:pPr>
                  <w:r>
                    <w:rPr>
                      <w:rFonts w:hint="eastAsia" w:ascii="Times New Roman" w:hAnsi="Times New Roman"/>
                      <w:bCs/>
                      <w:color w:val="auto"/>
                      <w:kern w:val="0"/>
                      <w:szCs w:val="21"/>
                      <w:lang w:val="en-US" w:eastAsia="zh-CN"/>
                    </w:rPr>
                    <w:t>30</w:t>
                  </w:r>
                  <w:r>
                    <w:rPr>
                      <w:rFonts w:ascii="Times New Roman" w:hAnsi="Times New Roman"/>
                      <w:bCs/>
                      <w:color w:val="auto"/>
                      <w:kern w:val="0"/>
                      <w:szCs w:val="21"/>
                    </w:rPr>
                    <w:t>0</w:t>
                  </w:r>
                </w:p>
              </w:tc>
              <w:tc>
                <w:tcPr>
                  <w:tcW w:w="645" w:type="dxa"/>
                  <w:vMerge w:val="restart"/>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bCs/>
                      <w:color w:val="auto"/>
                      <w:kern w:val="0"/>
                      <w:szCs w:val="21"/>
                    </w:rPr>
                  </w:pPr>
                  <w:r>
                    <w:rPr>
                      <w:rFonts w:hint="eastAsia" w:ascii="Times New Roman" w:hAnsi="Times New Roman"/>
                      <w:bCs/>
                      <w:color w:val="auto"/>
                      <w:kern w:val="0"/>
                      <w:szCs w:val="21"/>
                      <w:lang w:val="en-US" w:eastAsia="zh-CN"/>
                    </w:rPr>
                    <w:t>4</w:t>
                  </w:r>
                  <w:r>
                    <w:rPr>
                      <w:rFonts w:ascii="Times New Roman" w:hAnsi="Times New Roman"/>
                      <w:bCs/>
                      <w:color w:val="auto"/>
                      <w:kern w:val="0"/>
                      <w:szCs w:val="21"/>
                    </w:rPr>
                    <w:t>00</w:t>
                  </w:r>
                </w:p>
              </w:tc>
              <w:tc>
                <w:tcPr>
                  <w:tcW w:w="690" w:type="dxa"/>
                  <w:vMerge w:val="restart"/>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bCs/>
                      <w:color w:val="auto"/>
                      <w:kern w:val="0"/>
                      <w:szCs w:val="21"/>
                    </w:rPr>
                  </w:pPr>
                  <w:r>
                    <w:rPr>
                      <w:rFonts w:hint="eastAsia" w:ascii="Times New Roman" w:hAnsi="Times New Roman"/>
                      <w:bCs/>
                      <w:color w:val="auto"/>
                      <w:kern w:val="0"/>
                      <w:szCs w:val="21"/>
                      <w:lang w:val="en-US" w:eastAsia="zh-CN"/>
                    </w:rPr>
                    <w:t>50</w:t>
                  </w:r>
                  <w:r>
                    <w:rPr>
                      <w:rFonts w:ascii="Times New Roman" w:hAnsi="Times New Roman"/>
                      <w:bCs/>
                      <w:color w:val="auto"/>
                      <w:kern w:val="0"/>
                      <w:szCs w:val="21"/>
                    </w:rPr>
                    <w:t>0</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bCs/>
                      <w:color w:val="auto"/>
                      <w:kern w:val="0"/>
                      <w:szCs w:val="21"/>
                      <w:lang w:val="en-US" w:eastAsia="zh-CN"/>
                    </w:rPr>
                  </w:pPr>
                  <w:r>
                    <w:rPr>
                      <w:rFonts w:hint="eastAsia" w:ascii="Times New Roman" w:hAnsi="Times New Roman"/>
                      <w:bCs/>
                      <w:color w:val="auto"/>
                      <w:kern w:val="0"/>
                      <w:szCs w:val="21"/>
                      <w:lang w:val="en-US" w:eastAsia="zh-CN"/>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77"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bCs/>
                      <w:color w:val="auto"/>
                      <w:kern w:val="0"/>
                      <w:szCs w:val="21"/>
                      <w:lang w:val="en-US" w:eastAsia="zh-CN"/>
                    </w:rPr>
                  </w:pPr>
                </w:p>
              </w:tc>
              <w:tc>
                <w:tcPr>
                  <w:tcW w:w="517" w:type="dxa"/>
                  <w:vMerge w:val="continue"/>
                  <w:tcBorders>
                    <w:left w:val="single" w:color="auto" w:sz="4" w:space="0"/>
                    <w:bottom w:val="single" w:color="auto" w:sz="4" w:space="0"/>
                    <w:right w:val="single" w:color="auto" w:sz="4" w:space="0"/>
                  </w:tcBorders>
                  <w:noWrap w:val="0"/>
                  <w:vAlign w:val="center"/>
                </w:tcPr>
                <w:p>
                  <w:pPr>
                    <w:snapToGrid w:val="0"/>
                    <w:jc w:val="center"/>
                    <w:rPr>
                      <w:rFonts w:ascii="Times New Roman" w:hAnsi="Times New Roman"/>
                      <w:bCs/>
                      <w:color w:val="auto"/>
                      <w:kern w:val="0"/>
                      <w:szCs w:val="21"/>
                    </w:rPr>
                  </w:pPr>
                </w:p>
              </w:tc>
              <w:tc>
                <w:tcPr>
                  <w:tcW w:w="540" w:type="dxa"/>
                  <w:vMerge w:val="continue"/>
                  <w:tcBorders>
                    <w:left w:val="single" w:color="auto" w:sz="4" w:space="0"/>
                    <w:bottom w:val="single" w:color="auto" w:sz="4" w:space="0"/>
                    <w:right w:val="single" w:color="auto" w:sz="4" w:space="0"/>
                  </w:tcBorders>
                  <w:noWrap w:val="0"/>
                  <w:vAlign w:val="center"/>
                </w:tcPr>
                <w:p>
                  <w:pPr>
                    <w:snapToGrid w:val="0"/>
                    <w:jc w:val="center"/>
                    <w:rPr>
                      <w:rFonts w:ascii="Times New Roman" w:hAnsi="Times New Roman"/>
                      <w:bCs/>
                      <w:color w:val="auto"/>
                      <w:kern w:val="0"/>
                      <w:szCs w:val="21"/>
                    </w:rPr>
                  </w:pPr>
                </w:p>
              </w:tc>
              <w:tc>
                <w:tcPr>
                  <w:tcW w:w="540"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bCs/>
                      <w:color w:val="auto"/>
                      <w:kern w:val="0"/>
                      <w:szCs w:val="21"/>
                      <w:lang w:val="en-US" w:eastAsia="zh-CN"/>
                    </w:rPr>
                  </w:pPr>
                </w:p>
              </w:tc>
              <w:tc>
                <w:tcPr>
                  <w:tcW w:w="600"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bCs/>
                      <w:color w:val="auto"/>
                      <w:kern w:val="0"/>
                      <w:szCs w:val="21"/>
                      <w:lang w:val="en-US" w:eastAsia="zh-CN"/>
                    </w:rPr>
                  </w:pPr>
                </w:p>
              </w:tc>
              <w:tc>
                <w:tcPr>
                  <w:tcW w:w="615"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bCs/>
                      <w:color w:val="auto"/>
                      <w:kern w:val="0"/>
                      <w:szCs w:val="21"/>
                      <w:lang w:val="en-US" w:eastAsia="zh-CN"/>
                    </w:rPr>
                  </w:pPr>
                </w:p>
              </w:tc>
              <w:tc>
                <w:tcPr>
                  <w:tcW w:w="660"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bCs/>
                      <w:color w:val="auto"/>
                      <w:kern w:val="0"/>
                      <w:szCs w:val="21"/>
                      <w:lang w:val="en-US" w:eastAsia="zh-CN"/>
                    </w:rPr>
                  </w:pPr>
                </w:p>
              </w:tc>
              <w:tc>
                <w:tcPr>
                  <w:tcW w:w="720"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bCs/>
                      <w:color w:val="auto"/>
                      <w:kern w:val="0"/>
                      <w:szCs w:val="21"/>
                      <w:lang w:val="en-US" w:eastAsia="zh-CN"/>
                    </w:rPr>
                  </w:pPr>
                </w:p>
              </w:tc>
              <w:tc>
                <w:tcPr>
                  <w:tcW w:w="645"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bCs/>
                      <w:color w:val="auto"/>
                      <w:kern w:val="0"/>
                      <w:szCs w:val="21"/>
                      <w:lang w:val="en-US" w:eastAsia="zh-CN"/>
                    </w:rPr>
                  </w:pPr>
                </w:p>
              </w:tc>
              <w:tc>
                <w:tcPr>
                  <w:tcW w:w="690"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bCs/>
                      <w:color w:val="auto"/>
                      <w:kern w:val="0"/>
                      <w:szCs w:val="21"/>
                      <w:lang w:val="en-US" w:eastAsia="zh-CN"/>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bCs/>
                      <w:color w:val="auto"/>
                      <w:kern w:val="0"/>
                      <w:szCs w:val="21"/>
                      <w:lang w:val="en-US" w:eastAsia="zh-CN"/>
                    </w:rPr>
                  </w:pPr>
                  <w:r>
                    <w:rPr>
                      <w:rFonts w:hint="eastAsia" w:ascii="Times New Roman" w:hAnsi="Times New Roman"/>
                      <w:bCs/>
                      <w:color w:val="auto"/>
                      <w:kern w:val="0"/>
                      <w:szCs w:val="21"/>
                      <w:lang w:val="en-US" w:eastAsia="zh-CN"/>
                    </w:rPr>
                    <w:t>昼间</w:t>
                  </w:r>
                </w:p>
              </w:tc>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bCs/>
                      <w:color w:val="auto"/>
                      <w:kern w:val="0"/>
                      <w:szCs w:val="21"/>
                      <w:lang w:val="en-US" w:eastAsia="zh-CN"/>
                    </w:rPr>
                  </w:pPr>
                  <w:r>
                    <w:rPr>
                      <w:rFonts w:hint="eastAsia" w:ascii="Times New Roman" w:hAnsi="Times New Roman"/>
                      <w:bCs/>
                      <w:color w:val="auto"/>
                      <w:kern w:val="0"/>
                      <w:szCs w:val="21"/>
                      <w:lang w:val="en-US"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Times New Roman" w:hAnsi="Times New Roman"/>
                      <w:bCs/>
                      <w:color w:val="auto"/>
                      <w:kern w:val="0"/>
                      <w:szCs w:val="21"/>
                    </w:rPr>
                  </w:pPr>
                  <w:r>
                    <w:rPr>
                      <w:rFonts w:hint="eastAsia"/>
                      <w:color w:val="auto"/>
                      <w:lang w:val="en-US" w:eastAsia="zh-CN"/>
                    </w:rPr>
                    <w:t>挖掘机</w:t>
                  </w:r>
                </w:p>
              </w:tc>
              <w:tc>
                <w:tcPr>
                  <w:tcW w:w="51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84</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78</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64</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60</w:t>
                  </w:r>
                </w:p>
              </w:tc>
              <w:tc>
                <w:tcPr>
                  <w:tcW w:w="6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58</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52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48</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46</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44</w:t>
                  </w:r>
                </w:p>
              </w:tc>
              <w:tc>
                <w:tcPr>
                  <w:tcW w:w="721" w:type="dxa"/>
                  <w:vMerge w:val="restart"/>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70</w:t>
                  </w:r>
                </w:p>
              </w:tc>
              <w:tc>
                <w:tcPr>
                  <w:tcW w:w="704" w:type="dxa"/>
                  <w:vMerge w:val="restart"/>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ascii="Times New Roman" w:hAnsi="Times New Roman"/>
                      <w:bCs/>
                      <w:color w:val="auto"/>
                      <w:kern w:val="0"/>
                      <w:szCs w:val="21"/>
                    </w:rPr>
                  </w:pPr>
                  <w:r>
                    <w:rPr>
                      <w:rFonts w:hint="eastAsia"/>
                      <w:color w:val="auto"/>
                      <w:lang w:val="en-US" w:eastAsia="zh-CN"/>
                    </w:rPr>
                    <w:t>推土机</w:t>
                  </w:r>
                </w:p>
              </w:tc>
              <w:tc>
                <w:tcPr>
                  <w:tcW w:w="51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86</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80</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66</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62</w:t>
                  </w:r>
                </w:p>
              </w:tc>
              <w:tc>
                <w:tcPr>
                  <w:tcW w:w="6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60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54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50</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48</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46</w:t>
                  </w:r>
                </w:p>
              </w:tc>
              <w:tc>
                <w:tcPr>
                  <w:tcW w:w="721" w:type="dxa"/>
                  <w:vMerge w:val="continue"/>
                  <w:tcBorders>
                    <w:left w:val="single" w:color="auto" w:sz="4" w:space="0"/>
                    <w:right w:val="single" w:color="auto" w:sz="4" w:space="0"/>
                  </w:tcBorders>
                  <w:noWrap w:val="0"/>
                  <w:vAlign w:val="center"/>
                </w:tcPr>
                <w:p>
                  <w:pPr>
                    <w:snapToGrid w:val="0"/>
                    <w:jc w:val="center"/>
                    <w:rPr>
                      <w:rFonts w:ascii="Times New Roman" w:hAnsi="Times New Roman"/>
                      <w:bCs/>
                      <w:color w:val="auto"/>
                      <w:kern w:val="0"/>
                      <w:szCs w:val="21"/>
                    </w:rPr>
                  </w:pPr>
                </w:p>
              </w:tc>
              <w:tc>
                <w:tcPr>
                  <w:tcW w:w="704" w:type="dxa"/>
                  <w:vMerge w:val="continue"/>
                  <w:tcBorders>
                    <w:left w:val="single" w:color="auto" w:sz="4" w:space="0"/>
                    <w:right w:val="single" w:color="auto" w:sz="4" w:space="0"/>
                  </w:tcBorders>
                  <w:noWrap w:val="0"/>
                  <w:vAlign w:val="center"/>
                </w:tcPr>
                <w:p>
                  <w:pPr>
                    <w:snapToGrid w:val="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ascii="Times New Roman" w:hAnsi="Times New Roman"/>
                      <w:bCs/>
                      <w:color w:val="auto"/>
                      <w:kern w:val="0"/>
                      <w:szCs w:val="21"/>
                    </w:rPr>
                  </w:pPr>
                  <w:r>
                    <w:rPr>
                      <w:rFonts w:hint="eastAsia"/>
                      <w:color w:val="auto"/>
                      <w:lang w:val="en-US" w:eastAsia="zh-CN"/>
                    </w:rPr>
                    <w:t>打夯机</w:t>
                  </w:r>
                </w:p>
              </w:tc>
              <w:tc>
                <w:tcPr>
                  <w:tcW w:w="51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90</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84</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70</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66</w:t>
                  </w:r>
                </w:p>
              </w:tc>
              <w:tc>
                <w:tcPr>
                  <w:tcW w:w="6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64</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58</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54</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52</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50</w:t>
                  </w:r>
                </w:p>
              </w:tc>
              <w:tc>
                <w:tcPr>
                  <w:tcW w:w="721" w:type="dxa"/>
                  <w:vMerge w:val="continue"/>
                  <w:tcBorders>
                    <w:left w:val="single" w:color="auto" w:sz="4" w:space="0"/>
                    <w:right w:val="single" w:color="auto" w:sz="4" w:space="0"/>
                  </w:tcBorders>
                  <w:noWrap w:val="0"/>
                  <w:vAlign w:val="center"/>
                </w:tcPr>
                <w:p>
                  <w:pPr>
                    <w:snapToGrid w:val="0"/>
                    <w:jc w:val="center"/>
                    <w:rPr>
                      <w:rFonts w:ascii="Times New Roman" w:hAnsi="Times New Roman"/>
                      <w:bCs/>
                      <w:color w:val="auto"/>
                      <w:kern w:val="0"/>
                      <w:szCs w:val="21"/>
                    </w:rPr>
                  </w:pPr>
                </w:p>
              </w:tc>
              <w:tc>
                <w:tcPr>
                  <w:tcW w:w="704" w:type="dxa"/>
                  <w:vMerge w:val="continue"/>
                  <w:tcBorders>
                    <w:left w:val="single" w:color="auto" w:sz="4" w:space="0"/>
                    <w:right w:val="single" w:color="auto" w:sz="4" w:space="0"/>
                  </w:tcBorders>
                  <w:noWrap w:val="0"/>
                  <w:vAlign w:val="center"/>
                </w:tcPr>
                <w:p>
                  <w:pPr>
                    <w:snapToGrid w:val="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Times New Roman" w:hAnsi="Times New Roman"/>
                      <w:bCs/>
                      <w:color w:val="auto"/>
                      <w:kern w:val="0"/>
                      <w:szCs w:val="21"/>
                    </w:rPr>
                  </w:pPr>
                  <w:r>
                    <w:rPr>
                      <w:rFonts w:hint="eastAsia"/>
                      <w:color w:val="auto"/>
                      <w:lang w:val="en-US" w:eastAsia="zh-CN"/>
                    </w:rPr>
                    <w:t>搅拌机</w:t>
                  </w:r>
                </w:p>
              </w:tc>
              <w:tc>
                <w:tcPr>
                  <w:tcW w:w="51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75</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69</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54</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50</w:t>
                  </w:r>
                </w:p>
              </w:tc>
              <w:tc>
                <w:tcPr>
                  <w:tcW w:w="6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48</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46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44</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42</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40</w:t>
                  </w:r>
                </w:p>
              </w:tc>
              <w:tc>
                <w:tcPr>
                  <w:tcW w:w="721" w:type="dxa"/>
                  <w:vMerge w:val="continue"/>
                  <w:tcBorders>
                    <w:left w:val="single" w:color="auto" w:sz="4" w:space="0"/>
                    <w:right w:val="single" w:color="auto" w:sz="4" w:space="0"/>
                  </w:tcBorders>
                  <w:noWrap w:val="0"/>
                  <w:vAlign w:val="center"/>
                </w:tcPr>
                <w:p>
                  <w:pPr>
                    <w:snapToGrid w:val="0"/>
                    <w:jc w:val="center"/>
                    <w:rPr>
                      <w:rFonts w:ascii="Times New Roman" w:hAnsi="Times New Roman"/>
                      <w:bCs/>
                      <w:color w:val="auto"/>
                      <w:kern w:val="0"/>
                      <w:szCs w:val="21"/>
                    </w:rPr>
                  </w:pPr>
                </w:p>
              </w:tc>
              <w:tc>
                <w:tcPr>
                  <w:tcW w:w="704" w:type="dxa"/>
                  <w:vMerge w:val="continue"/>
                  <w:tcBorders>
                    <w:left w:val="single" w:color="auto" w:sz="4" w:space="0"/>
                    <w:right w:val="single" w:color="auto" w:sz="4" w:space="0"/>
                  </w:tcBorders>
                  <w:noWrap w:val="0"/>
                  <w:vAlign w:val="center"/>
                </w:tcPr>
                <w:p>
                  <w:pPr>
                    <w:snapToGrid w:val="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Times New Roman" w:hAnsi="Times New Roman"/>
                      <w:bCs/>
                      <w:color w:val="auto"/>
                      <w:kern w:val="0"/>
                      <w:szCs w:val="21"/>
                    </w:rPr>
                  </w:pPr>
                  <w:r>
                    <w:rPr>
                      <w:rFonts w:hint="eastAsia"/>
                      <w:color w:val="auto"/>
                      <w:lang w:val="en-US" w:eastAsia="zh-CN"/>
                    </w:rPr>
                    <w:t>起重机</w:t>
                  </w:r>
                </w:p>
              </w:tc>
              <w:tc>
                <w:tcPr>
                  <w:tcW w:w="51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82</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76</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62</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58</w:t>
                  </w:r>
                </w:p>
              </w:tc>
              <w:tc>
                <w:tcPr>
                  <w:tcW w:w="6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56</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50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46</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44</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42</w:t>
                  </w:r>
                </w:p>
              </w:tc>
              <w:tc>
                <w:tcPr>
                  <w:tcW w:w="721" w:type="dxa"/>
                  <w:vMerge w:val="continue"/>
                  <w:tcBorders>
                    <w:left w:val="single" w:color="auto" w:sz="4" w:space="0"/>
                    <w:right w:val="single" w:color="auto" w:sz="4" w:space="0"/>
                  </w:tcBorders>
                  <w:noWrap w:val="0"/>
                  <w:vAlign w:val="center"/>
                </w:tcPr>
                <w:p>
                  <w:pPr>
                    <w:snapToGrid w:val="0"/>
                    <w:jc w:val="center"/>
                    <w:rPr>
                      <w:rFonts w:ascii="Times New Roman" w:hAnsi="Times New Roman"/>
                      <w:bCs/>
                      <w:color w:val="auto"/>
                      <w:kern w:val="0"/>
                      <w:szCs w:val="21"/>
                    </w:rPr>
                  </w:pPr>
                </w:p>
              </w:tc>
              <w:tc>
                <w:tcPr>
                  <w:tcW w:w="704" w:type="dxa"/>
                  <w:vMerge w:val="continue"/>
                  <w:tcBorders>
                    <w:left w:val="single" w:color="auto" w:sz="4" w:space="0"/>
                    <w:right w:val="single" w:color="auto" w:sz="4" w:space="0"/>
                  </w:tcBorders>
                  <w:noWrap w:val="0"/>
                  <w:vAlign w:val="center"/>
                </w:tcPr>
                <w:p>
                  <w:pPr>
                    <w:snapToGrid w:val="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ascii="Times New Roman" w:hAnsi="Times New Roman"/>
                      <w:bCs/>
                      <w:color w:val="auto"/>
                      <w:kern w:val="0"/>
                      <w:szCs w:val="21"/>
                    </w:rPr>
                  </w:pPr>
                  <w:r>
                    <w:rPr>
                      <w:rFonts w:hint="eastAsia"/>
                      <w:color w:val="auto"/>
                      <w:lang w:val="en-US" w:eastAsia="zh-CN"/>
                    </w:rPr>
                    <w:t>铲土机</w:t>
                  </w:r>
                </w:p>
              </w:tc>
              <w:tc>
                <w:tcPr>
                  <w:tcW w:w="51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88</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82</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68</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64</w:t>
                  </w:r>
                </w:p>
              </w:tc>
              <w:tc>
                <w:tcPr>
                  <w:tcW w:w="6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62</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56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52</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50</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bCs/>
                      <w:color w:val="auto"/>
                      <w:kern w:val="0"/>
                      <w:szCs w:val="21"/>
                      <w:lang w:val="en-US" w:eastAsia="zh-CN"/>
                    </w:rPr>
                  </w:pPr>
                  <w:r>
                    <w:rPr>
                      <w:rFonts w:hint="eastAsia" w:ascii="Times New Roman" w:hAnsi="Times New Roman"/>
                      <w:bCs/>
                      <w:color w:val="auto"/>
                      <w:kern w:val="0"/>
                      <w:szCs w:val="21"/>
                      <w:lang w:val="en-US" w:eastAsia="zh-CN"/>
                    </w:rPr>
                    <w:t>48</w:t>
                  </w:r>
                </w:p>
              </w:tc>
              <w:tc>
                <w:tcPr>
                  <w:tcW w:w="721" w:type="dxa"/>
                  <w:vMerge w:val="continue"/>
                  <w:tcBorders>
                    <w:left w:val="single" w:color="auto" w:sz="4" w:space="0"/>
                    <w:right w:val="single" w:color="auto" w:sz="4" w:space="0"/>
                  </w:tcBorders>
                  <w:noWrap w:val="0"/>
                  <w:vAlign w:val="center"/>
                </w:tcPr>
                <w:p>
                  <w:pPr>
                    <w:snapToGrid w:val="0"/>
                    <w:jc w:val="center"/>
                    <w:rPr>
                      <w:rFonts w:ascii="Times New Roman" w:hAnsi="Times New Roman"/>
                      <w:bCs/>
                      <w:color w:val="auto"/>
                      <w:kern w:val="0"/>
                      <w:szCs w:val="21"/>
                    </w:rPr>
                  </w:pPr>
                </w:p>
              </w:tc>
              <w:tc>
                <w:tcPr>
                  <w:tcW w:w="704" w:type="dxa"/>
                  <w:vMerge w:val="continue"/>
                  <w:tcBorders>
                    <w:left w:val="single" w:color="auto" w:sz="4" w:space="0"/>
                    <w:right w:val="single" w:color="auto" w:sz="4" w:space="0"/>
                  </w:tcBorders>
                  <w:noWrap w:val="0"/>
                  <w:vAlign w:val="center"/>
                </w:tcPr>
                <w:p>
                  <w:pPr>
                    <w:snapToGrid w:val="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Times New Roman" w:hAnsi="Times New Roman"/>
                      <w:bCs/>
                      <w:color w:val="auto"/>
                      <w:kern w:val="0"/>
                      <w:szCs w:val="21"/>
                    </w:rPr>
                  </w:pPr>
                  <w:r>
                    <w:rPr>
                      <w:rFonts w:hint="eastAsia"/>
                      <w:color w:val="auto"/>
                      <w:lang w:val="en-US" w:eastAsia="zh-CN"/>
                    </w:rPr>
                    <w:t>自卸汽车</w:t>
                  </w:r>
                </w:p>
              </w:tc>
              <w:tc>
                <w:tcPr>
                  <w:tcW w:w="51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bCs/>
                      <w:color w:val="auto"/>
                      <w:kern w:val="0"/>
                      <w:sz w:val="21"/>
                      <w:szCs w:val="21"/>
                      <w:lang w:val="en-US" w:eastAsia="zh-CN" w:bidi="ar-SA"/>
                    </w:rPr>
                  </w:pPr>
                  <w:r>
                    <w:rPr>
                      <w:rFonts w:hint="eastAsia" w:ascii="Times New Roman" w:hAnsi="Times New Roman"/>
                      <w:bCs/>
                      <w:color w:val="auto"/>
                      <w:kern w:val="0"/>
                      <w:szCs w:val="21"/>
                      <w:lang w:val="en-US" w:eastAsia="zh-CN"/>
                    </w:rPr>
                    <w:t>82</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bCs/>
                      <w:color w:val="auto"/>
                      <w:kern w:val="0"/>
                      <w:sz w:val="21"/>
                      <w:szCs w:val="21"/>
                      <w:lang w:val="en-US" w:eastAsia="zh-CN" w:bidi="ar-SA"/>
                    </w:rPr>
                  </w:pPr>
                  <w:r>
                    <w:rPr>
                      <w:rFonts w:hint="eastAsia" w:ascii="Times New Roman" w:hAnsi="Times New Roman"/>
                      <w:bCs/>
                      <w:color w:val="auto"/>
                      <w:kern w:val="0"/>
                      <w:szCs w:val="21"/>
                      <w:lang w:val="en-US" w:eastAsia="zh-CN"/>
                    </w:rPr>
                    <w:t>76</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bCs/>
                      <w:color w:val="auto"/>
                      <w:kern w:val="0"/>
                      <w:sz w:val="21"/>
                      <w:szCs w:val="21"/>
                      <w:lang w:val="en-US" w:eastAsia="zh-CN" w:bidi="ar-SA"/>
                    </w:rPr>
                  </w:pPr>
                  <w:r>
                    <w:rPr>
                      <w:rFonts w:hint="eastAsia" w:ascii="Times New Roman" w:hAnsi="Times New Roman"/>
                      <w:bCs/>
                      <w:color w:val="auto"/>
                      <w:kern w:val="0"/>
                      <w:szCs w:val="21"/>
                      <w:lang w:val="en-US" w:eastAsia="zh-CN"/>
                    </w:rPr>
                    <w:t>62</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bCs/>
                      <w:color w:val="auto"/>
                      <w:kern w:val="0"/>
                      <w:sz w:val="21"/>
                      <w:szCs w:val="21"/>
                      <w:lang w:val="en-US" w:eastAsia="zh-CN" w:bidi="ar-SA"/>
                    </w:rPr>
                  </w:pPr>
                  <w:r>
                    <w:rPr>
                      <w:rFonts w:hint="eastAsia" w:ascii="Times New Roman" w:hAnsi="Times New Roman"/>
                      <w:bCs/>
                      <w:color w:val="auto"/>
                      <w:kern w:val="0"/>
                      <w:szCs w:val="21"/>
                      <w:lang w:val="en-US" w:eastAsia="zh-CN"/>
                    </w:rPr>
                    <w:t>58</w:t>
                  </w:r>
                </w:p>
              </w:tc>
              <w:tc>
                <w:tcPr>
                  <w:tcW w:w="6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bCs/>
                      <w:color w:val="auto"/>
                      <w:kern w:val="0"/>
                      <w:sz w:val="21"/>
                      <w:szCs w:val="21"/>
                      <w:lang w:val="en-US" w:eastAsia="zh-CN" w:bidi="ar-SA"/>
                    </w:rPr>
                  </w:pPr>
                  <w:r>
                    <w:rPr>
                      <w:rFonts w:hint="eastAsia" w:ascii="Times New Roman" w:hAnsi="Times New Roman"/>
                      <w:bCs/>
                      <w:color w:val="auto"/>
                      <w:kern w:val="0"/>
                      <w:szCs w:val="21"/>
                      <w:lang w:val="en-US" w:eastAsia="zh-CN"/>
                    </w:rPr>
                    <w:t>56</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bCs/>
                      <w:color w:val="auto"/>
                      <w:kern w:val="0"/>
                      <w:sz w:val="21"/>
                      <w:szCs w:val="21"/>
                      <w:lang w:val="en-US" w:eastAsia="zh-CN" w:bidi="ar-SA"/>
                    </w:rPr>
                  </w:pPr>
                  <w:r>
                    <w:rPr>
                      <w:rFonts w:hint="eastAsia" w:ascii="Times New Roman" w:hAnsi="Times New Roman"/>
                      <w:bCs/>
                      <w:color w:val="auto"/>
                      <w:kern w:val="0"/>
                      <w:szCs w:val="21"/>
                      <w:lang w:val="en-US" w:eastAsia="zh-CN"/>
                    </w:rPr>
                    <w:t>50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bCs/>
                      <w:color w:val="auto"/>
                      <w:kern w:val="0"/>
                      <w:sz w:val="21"/>
                      <w:szCs w:val="21"/>
                      <w:lang w:val="en-US" w:eastAsia="zh-CN" w:bidi="ar-SA"/>
                    </w:rPr>
                  </w:pPr>
                  <w:r>
                    <w:rPr>
                      <w:rFonts w:hint="eastAsia" w:ascii="Times New Roman" w:hAnsi="Times New Roman"/>
                      <w:bCs/>
                      <w:color w:val="auto"/>
                      <w:kern w:val="0"/>
                      <w:szCs w:val="21"/>
                      <w:lang w:val="en-US" w:eastAsia="zh-CN"/>
                    </w:rPr>
                    <w:t>46</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bCs/>
                      <w:color w:val="auto"/>
                      <w:kern w:val="0"/>
                      <w:sz w:val="21"/>
                      <w:szCs w:val="21"/>
                      <w:lang w:val="en-US" w:eastAsia="zh-CN" w:bidi="ar-SA"/>
                    </w:rPr>
                  </w:pPr>
                  <w:r>
                    <w:rPr>
                      <w:rFonts w:hint="eastAsia" w:ascii="Times New Roman" w:hAnsi="Times New Roman"/>
                      <w:bCs/>
                      <w:color w:val="auto"/>
                      <w:kern w:val="0"/>
                      <w:szCs w:val="21"/>
                      <w:lang w:val="en-US" w:eastAsia="zh-CN"/>
                    </w:rPr>
                    <w:t>44</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bCs/>
                      <w:color w:val="auto"/>
                      <w:kern w:val="0"/>
                      <w:sz w:val="21"/>
                      <w:szCs w:val="21"/>
                      <w:lang w:val="en-US" w:eastAsia="zh-CN" w:bidi="ar-SA"/>
                    </w:rPr>
                  </w:pPr>
                  <w:r>
                    <w:rPr>
                      <w:rFonts w:hint="eastAsia" w:ascii="Times New Roman" w:hAnsi="Times New Roman"/>
                      <w:bCs/>
                      <w:color w:val="auto"/>
                      <w:kern w:val="0"/>
                      <w:szCs w:val="21"/>
                      <w:lang w:val="en-US" w:eastAsia="zh-CN"/>
                    </w:rPr>
                    <w:t>42</w:t>
                  </w:r>
                </w:p>
              </w:tc>
              <w:tc>
                <w:tcPr>
                  <w:tcW w:w="721" w:type="dxa"/>
                  <w:vMerge w:val="continue"/>
                  <w:tcBorders>
                    <w:left w:val="single" w:color="auto" w:sz="4" w:space="0"/>
                    <w:bottom w:val="single" w:color="auto" w:sz="4" w:space="0"/>
                    <w:right w:val="single" w:color="auto" w:sz="4" w:space="0"/>
                  </w:tcBorders>
                  <w:noWrap w:val="0"/>
                  <w:vAlign w:val="center"/>
                </w:tcPr>
                <w:p>
                  <w:pPr>
                    <w:snapToGrid w:val="0"/>
                    <w:jc w:val="center"/>
                    <w:rPr>
                      <w:rFonts w:ascii="Times New Roman" w:hAnsi="Times New Roman"/>
                      <w:bCs/>
                      <w:color w:val="auto"/>
                      <w:kern w:val="0"/>
                      <w:szCs w:val="21"/>
                    </w:rPr>
                  </w:pPr>
                </w:p>
              </w:tc>
              <w:tc>
                <w:tcPr>
                  <w:tcW w:w="704" w:type="dxa"/>
                  <w:vMerge w:val="continue"/>
                  <w:tcBorders>
                    <w:left w:val="single" w:color="auto" w:sz="4" w:space="0"/>
                    <w:bottom w:val="single" w:color="auto" w:sz="4" w:space="0"/>
                    <w:right w:val="single" w:color="auto" w:sz="4" w:space="0"/>
                  </w:tcBorders>
                  <w:noWrap w:val="0"/>
                  <w:vAlign w:val="center"/>
                </w:tcPr>
                <w:p>
                  <w:pPr>
                    <w:snapToGrid w:val="0"/>
                    <w:jc w:val="center"/>
                    <w:rPr>
                      <w:rFonts w:ascii="Times New Roman" w:hAnsi="Times New Roman"/>
                      <w:bCs/>
                      <w:color w:val="auto"/>
                      <w:kern w:val="0"/>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1"/>
              <w:rPr>
                <w:color w:val="auto"/>
              </w:rPr>
            </w:pPr>
            <w:r>
              <w:rPr>
                <w:rFonts w:hint="eastAsia"/>
                <w:color w:val="auto"/>
                <w:lang w:val="en-US" w:eastAsia="zh-CN"/>
              </w:rPr>
              <w:t>由表4-4可知，昼间各机械在50m处噪声可达标排放，在200m以外能满足《声环境质量标准》（GB3096-2008）中2类标准；夜间各机械在300m处噪声均达标排放，在500m以外能满足《声环境质量标准》（GB3096-2008）中2类标准。施工区附近200m范围内主要敏感点有</w:t>
            </w:r>
            <w:r>
              <w:rPr>
                <w:rFonts w:hint="eastAsia"/>
                <w:color w:val="auto"/>
                <w:szCs w:val="21"/>
                <w:lang w:val="en-US" w:eastAsia="zh-CN"/>
              </w:rPr>
              <w:t>九台村</w:t>
            </w:r>
            <w:r>
              <w:rPr>
                <w:rFonts w:hint="eastAsia"/>
                <w:color w:val="auto"/>
                <w:lang w:val="en-US" w:eastAsia="zh-CN"/>
              </w:rPr>
              <w:t>、</w:t>
            </w:r>
            <w:r>
              <w:rPr>
                <w:rFonts w:hint="eastAsia"/>
                <w:color w:val="auto"/>
                <w:szCs w:val="21"/>
                <w:lang w:val="en-US" w:eastAsia="zh-CN"/>
              </w:rPr>
              <w:t>马桑坝</w:t>
            </w:r>
            <w:r>
              <w:rPr>
                <w:rFonts w:hint="eastAsia"/>
                <w:color w:val="auto"/>
                <w:lang w:val="en-US" w:eastAsia="zh-CN"/>
              </w:rPr>
              <w:t>、</w:t>
            </w:r>
            <w:r>
              <w:rPr>
                <w:rFonts w:hint="eastAsia"/>
                <w:color w:val="auto"/>
                <w:szCs w:val="21"/>
                <w:lang w:val="en-US" w:eastAsia="zh-CN"/>
              </w:rPr>
              <w:t>武学村二组</w:t>
            </w:r>
            <w:r>
              <w:rPr>
                <w:rFonts w:hint="eastAsia"/>
                <w:color w:val="auto"/>
                <w:lang w:val="en-US" w:eastAsia="zh-CN"/>
              </w:rPr>
              <w:t>、</w:t>
            </w:r>
            <w:r>
              <w:rPr>
                <w:rFonts w:hint="eastAsia"/>
                <w:color w:val="auto"/>
                <w:szCs w:val="21"/>
                <w:lang w:val="en-US" w:eastAsia="zh-CN"/>
              </w:rPr>
              <w:t>石滚坝</w:t>
            </w:r>
            <w:r>
              <w:rPr>
                <w:rFonts w:hint="eastAsia"/>
                <w:color w:val="auto"/>
                <w:lang w:val="en-US" w:eastAsia="zh-CN"/>
              </w:rPr>
              <w:t>、</w:t>
            </w:r>
            <w:r>
              <w:rPr>
                <w:rFonts w:hint="eastAsia"/>
                <w:color w:val="auto"/>
                <w:szCs w:val="21"/>
                <w:lang w:val="en-US" w:eastAsia="zh-CN"/>
              </w:rPr>
              <w:t>桃园村、西河村一组</w:t>
            </w:r>
            <w:r>
              <w:rPr>
                <w:rFonts w:hint="eastAsia"/>
                <w:color w:val="auto"/>
                <w:lang w:val="en-US" w:eastAsia="zh-CN"/>
              </w:rPr>
              <w:t>以及</w:t>
            </w:r>
            <w:r>
              <w:rPr>
                <w:rFonts w:hint="eastAsia"/>
                <w:color w:val="auto"/>
                <w:szCs w:val="21"/>
                <w:lang w:val="en-US" w:eastAsia="zh-CN"/>
              </w:rPr>
              <w:t>新生村</w:t>
            </w:r>
            <w:r>
              <w:rPr>
                <w:rFonts w:hint="eastAsia"/>
                <w:color w:val="auto"/>
                <w:lang w:val="en-US" w:eastAsia="zh-CN"/>
              </w:rPr>
              <w:t>，居民分布较多，最近的有20m处的</w:t>
            </w:r>
            <w:r>
              <w:rPr>
                <w:rFonts w:hint="eastAsia"/>
                <w:color w:val="auto"/>
                <w:szCs w:val="21"/>
                <w:lang w:val="en-US" w:eastAsia="zh-CN"/>
              </w:rPr>
              <w:t>桃园村</w:t>
            </w:r>
            <w:r>
              <w:rPr>
                <w:rFonts w:hint="eastAsia"/>
                <w:color w:val="auto"/>
                <w:lang w:val="en-US" w:eastAsia="zh-CN"/>
              </w:rPr>
              <w:t>，施工期各类噪声设备会对沿线居民产生一定的影响。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1"/>
              <w:rPr>
                <w:rFonts w:hint="eastAsia"/>
                <w:color w:val="auto"/>
                <w:lang w:val="en-US" w:eastAsia="zh-CN"/>
              </w:rPr>
            </w:pPr>
            <w:r>
              <w:rPr>
                <w:rFonts w:hint="eastAsia"/>
                <w:color w:val="auto"/>
                <w:lang w:val="en-US" w:eastAsia="zh-CN"/>
              </w:rPr>
              <w:t>因此，要求建设单位夜间不得施工。同时，要求在居民点工地实施半封闭隔离施工，如采用防尘隔声板护围，可以降低噪声10dB（A）左右。采取上述措施后，昼间各机械在100m 以外能满足《声环境质量标准》（GB3096-2008）中2类标准；夜间不准施工。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1"/>
              <w:rPr>
                <w:rFonts w:hint="default"/>
                <w:color w:val="auto"/>
                <w:lang w:val="en-US" w:eastAsia="zh-CN"/>
              </w:rPr>
            </w:pPr>
            <w:r>
              <w:rPr>
                <w:rFonts w:hint="eastAsia"/>
                <w:color w:val="auto"/>
                <w:lang w:val="en-US" w:eastAsia="zh-CN"/>
              </w:rPr>
              <w:t>在采取设置围挡、车辆限速行驶、合理安排高噪声机械的作业时间，文明作业，使施工过程噪声及振动对项目周围声环境的影响降到最低。</w:t>
            </w:r>
          </w:p>
          <w:p>
            <w:pPr>
              <w:spacing w:line="360" w:lineRule="auto"/>
              <w:jc w:val="left"/>
              <w:outlineLvl w:val="1"/>
              <w:rPr>
                <w:b/>
                <w:bCs/>
                <w:color w:val="auto"/>
              </w:rPr>
            </w:pPr>
            <w:r>
              <w:rPr>
                <w:b/>
                <w:bCs/>
                <w:color w:val="auto"/>
              </w:rPr>
              <w:t>六、对</w:t>
            </w:r>
            <w:r>
              <w:rPr>
                <w:rFonts w:hint="eastAsia"/>
                <w:b/>
                <w:bCs/>
                <w:color w:val="auto"/>
                <w:lang w:eastAsia="zh-CN"/>
              </w:rPr>
              <w:t>岚河</w:t>
            </w:r>
            <w:r>
              <w:rPr>
                <w:b/>
                <w:bCs/>
                <w:color w:val="auto"/>
              </w:rPr>
              <w:t>湿地的影响分析</w:t>
            </w:r>
          </w:p>
          <w:p>
            <w:pPr>
              <w:spacing w:line="360" w:lineRule="auto"/>
              <w:ind w:firstLine="420" w:firstLineChars="200"/>
              <w:rPr>
                <w:rFonts w:hint="eastAsia"/>
                <w:color w:val="auto"/>
                <w:szCs w:val="21"/>
                <w:lang w:val="en-US" w:eastAsia="zh-CN"/>
              </w:rPr>
            </w:pPr>
            <w:r>
              <w:rPr>
                <w:rFonts w:hint="eastAsia"/>
                <w:color w:val="auto"/>
                <w:szCs w:val="21"/>
                <w:lang w:val="en-US" w:eastAsia="zh-CN"/>
              </w:rPr>
              <w:t>本工程沿岚河和大盘河岸边建设，其中</w:t>
            </w:r>
            <w:r>
              <w:rPr>
                <w:rFonts w:hint="default"/>
                <w:color w:val="auto"/>
                <w:szCs w:val="21"/>
                <w:lang w:val="en-US" w:eastAsia="zh-CN"/>
              </w:rPr>
              <w:t>岚河九台村段</w:t>
            </w:r>
            <w:r>
              <w:rPr>
                <w:rFonts w:hint="eastAsia"/>
                <w:color w:val="auto"/>
                <w:szCs w:val="21"/>
                <w:lang w:val="en-US" w:eastAsia="zh-CN"/>
              </w:rPr>
              <w:t>；</w:t>
            </w:r>
            <w:r>
              <w:rPr>
                <w:rFonts w:hint="default"/>
                <w:color w:val="auto"/>
                <w:szCs w:val="21"/>
                <w:lang w:val="en-US" w:eastAsia="zh-CN"/>
              </w:rPr>
              <w:t>武学村二组瓦西沟口右岸段</w:t>
            </w:r>
            <w:r>
              <w:rPr>
                <w:rFonts w:hint="eastAsia"/>
                <w:color w:val="auto"/>
                <w:szCs w:val="21"/>
                <w:lang w:val="en-US" w:eastAsia="zh-CN"/>
              </w:rPr>
              <w:t>；</w:t>
            </w:r>
            <w:r>
              <w:rPr>
                <w:rFonts w:hint="default"/>
                <w:color w:val="auto"/>
                <w:szCs w:val="21"/>
                <w:lang w:val="en-US" w:eastAsia="zh-CN"/>
              </w:rPr>
              <w:t>柏杨林村三组石滚坝右岸段</w:t>
            </w:r>
            <w:r>
              <w:rPr>
                <w:rFonts w:hint="eastAsia"/>
                <w:color w:val="auto"/>
                <w:szCs w:val="21"/>
                <w:lang w:val="en-US" w:eastAsia="zh-CN"/>
              </w:rPr>
              <w:t>；桃</w:t>
            </w:r>
            <w:r>
              <w:rPr>
                <w:rFonts w:hint="default"/>
                <w:color w:val="auto"/>
                <w:szCs w:val="21"/>
                <w:lang w:val="en-US" w:eastAsia="zh-CN"/>
              </w:rPr>
              <w:t>桃园村二组四方地河坝左岸段</w:t>
            </w:r>
            <w:r>
              <w:rPr>
                <w:rFonts w:hint="eastAsia"/>
                <w:color w:val="auto"/>
                <w:szCs w:val="21"/>
                <w:lang w:val="en-US" w:eastAsia="zh-CN"/>
              </w:rPr>
              <w:t>；西河村一组猕猴桃园区左岸段；西河村二组右岸段；龙安村龙安电站左岸段防洪工程，位于安康岚河湿地范围内。护岸建设缩减了河滩及泛洪区内湿地范围，施工过程中便道修建、材料运送等活动将引发湿地内水土流失和野生植被的破坏。</w:t>
            </w:r>
          </w:p>
          <w:p>
            <w:pPr>
              <w:spacing w:line="360" w:lineRule="auto"/>
              <w:ind w:firstLine="420" w:firstLineChars="200"/>
              <w:rPr>
                <w:rFonts w:hint="eastAsia"/>
                <w:color w:val="auto"/>
                <w:szCs w:val="21"/>
                <w:lang w:val="en-US" w:eastAsia="zh-CN"/>
              </w:rPr>
            </w:pPr>
            <w:r>
              <w:rPr>
                <w:rFonts w:hint="eastAsia"/>
                <w:color w:val="auto"/>
                <w:szCs w:val="21"/>
                <w:lang w:val="en-US" w:eastAsia="zh-CN"/>
              </w:rPr>
              <w:t xml:space="preserve">据现场调查，岚河两侧主要植被类型为野生常见杂草，且野生动物很少，工程占地不会对区域生物多样性造成影响；评价区内无保护类动植物、鱼类分布，无鱼类“三场”及洄游通道，且工程占地面积小，因此本工程不会改变秃尾河湿地的基本生态功能、野生陆生动植物及水生生物的栖息和生长环境，区域生物多样性不会受到影响。 </w:t>
            </w:r>
          </w:p>
          <w:p>
            <w:pPr>
              <w:spacing w:line="360" w:lineRule="auto"/>
              <w:ind w:firstLine="420" w:firstLineChars="200"/>
              <w:rPr>
                <w:color w:val="auto"/>
              </w:rPr>
            </w:pPr>
            <w:r>
              <w:rPr>
                <w:rFonts w:hint="eastAsia"/>
                <w:color w:val="auto"/>
                <w:szCs w:val="21"/>
                <w:lang w:val="en-US" w:eastAsia="zh-CN"/>
              </w:rPr>
              <w:t>综上，在施工期间做好水土保持措施，工程施工前应征得林业部门和水利部门的同意，并严格按照《陕西省湿地保护条例》相关要求进行施工，工程结束后做好绿化，通过采取一系列生态及水土保持措施将会使项目周围的生态环境得到改善，对生态环境的影响将会逐渐减弱直至消除。</w:t>
            </w:r>
          </w:p>
          <w:p>
            <w:pPr>
              <w:keepNext w:val="0"/>
              <w:keepLines w:val="0"/>
              <w:widowControl/>
              <w:suppressLineNumbers w:val="0"/>
              <w:jc w:val="left"/>
              <w:rPr>
                <w:color w:val="auto"/>
              </w:rPr>
            </w:pPr>
            <w:r>
              <w:rPr>
                <w:rFonts w:hint="eastAsia" w:ascii="宋体" w:hAnsi="宋体" w:cs="宋体"/>
                <w:b/>
                <w:bCs/>
                <w:color w:val="auto"/>
                <w:kern w:val="0"/>
                <w:sz w:val="24"/>
                <w:szCs w:val="24"/>
                <w:lang w:val="en-US" w:eastAsia="zh-CN" w:bidi="ar"/>
              </w:rPr>
              <w:t>七</w:t>
            </w:r>
            <w:r>
              <w:rPr>
                <w:rFonts w:hint="eastAsia" w:ascii="宋体" w:hAnsi="宋体" w:eastAsia="宋体" w:cs="宋体"/>
                <w:b/>
                <w:bCs/>
                <w:color w:val="auto"/>
                <w:kern w:val="0"/>
                <w:sz w:val="24"/>
                <w:szCs w:val="24"/>
                <w:lang w:val="en-US" w:eastAsia="zh-CN" w:bidi="ar"/>
              </w:rPr>
              <w:t>、地下水、土壤、风险</w:t>
            </w:r>
          </w:p>
          <w:p>
            <w:pPr>
              <w:spacing w:line="360" w:lineRule="auto"/>
              <w:ind w:firstLine="420" w:firstLineChars="200"/>
              <w:rPr>
                <w:rFonts w:hint="eastAsia"/>
                <w:color w:val="auto"/>
                <w:szCs w:val="21"/>
                <w:lang w:val="en-US" w:eastAsia="zh-CN"/>
              </w:rPr>
            </w:pPr>
            <w:r>
              <w:rPr>
                <w:rFonts w:hint="eastAsia"/>
                <w:color w:val="auto"/>
                <w:szCs w:val="21"/>
                <w:lang w:val="en-US" w:eastAsia="zh-CN"/>
              </w:rPr>
              <w:t>（1）地下水环境</w:t>
            </w:r>
          </w:p>
          <w:p>
            <w:pPr>
              <w:spacing w:line="360" w:lineRule="auto"/>
              <w:ind w:firstLine="420" w:firstLineChars="200"/>
              <w:rPr>
                <w:rFonts w:hint="eastAsia"/>
                <w:color w:val="auto"/>
                <w:szCs w:val="21"/>
                <w:lang w:val="en-US" w:eastAsia="zh-CN"/>
              </w:rPr>
            </w:pPr>
            <w:r>
              <w:rPr>
                <w:rFonts w:hint="eastAsia"/>
                <w:color w:val="auto"/>
                <w:szCs w:val="21"/>
                <w:lang w:val="en-US" w:eastAsia="zh-CN"/>
              </w:rPr>
              <w:t>根据建设项目对地下水环境影响的程度，结合《建设项目环境影响评价分类管理名录》，本项目为Ⅳ类建设项目，根据《环境影响评价技术导则 地下水环境》（HJ610-2016），Ⅳ类建设项目不开展地下水环境影响评价。</w:t>
            </w:r>
          </w:p>
          <w:p>
            <w:pPr>
              <w:spacing w:line="360" w:lineRule="auto"/>
              <w:ind w:firstLine="420" w:firstLineChars="200"/>
              <w:rPr>
                <w:rFonts w:hint="eastAsia"/>
                <w:color w:val="auto"/>
                <w:szCs w:val="21"/>
                <w:lang w:val="en-US" w:eastAsia="zh-CN"/>
              </w:rPr>
            </w:pPr>
            <w:r>
              <w:rPr>
                <w:rFonts w:hint="eastAsia"/>
                <w:color w:val="auto"/>
                <w:szCs w:val="21"/>
                <w:lang w:val="en-US" w:eastAsia="zh-CN"/>
              </w:rPr>
              <w:t>（2）土壤环境</w:t>
            </w:r>
          </w:p>
          <w:p>
            <w:pPr>
              <w:spacing w:line="360" w:lineRule="auto"/>
              <w:ind w:firstLine="420" w:firstLineChars="200"/>
              <w:rPr>
                <w:rFonts w:hint="eastAsia"/>
                <w:color w:val="auto"/>
                <w:szCs w:val="21"/>
                <w:lang w:val="en-US" w:eastAsia="zh-CN"/>
              </w:rPr>
            </w:pPr>
            <w:r>
              <w:rPr>
                <w:rFonts w:hint="eastAsia"/>
                <w:color w:val="auto"/>
                <w:szCs w:val="21"/>
                <w:lang w:val="en-US" w:eastAsia="zh-CN"/>
              </w:rPr>
              <w:t>本项目属防洪治理工程，属于《环境影响评价技术导则 土壤环境（试行）》 （HJ964-2018）附录A规定的“水利 其他”，即Ⅲ类项目。项目所在地年干燥度0.37，土壤含盐量小于2g/kg，PH值6.52~7.94，土壤环境敏感程度为“不敏感”。根据污染影响型评价工作等级划分表，本项目不需开展土壤环境影响评价。</w:t>
            </w:r>
          </w:p>
          <w:p>
            <w:pPr>
              <w:spacing w:line="360" w:lineRule="auto"/>
              <w:ind w:firstLine="420" w:firstLineChars="200"/>
              <w:rPr>
                <w:rFonts w:hint="eastAsia"/>
                <w:color w:val="auto"/>
                <w:szCs w:val="21"/>
                <w:lang w:val="en-US" w:eastAsia="zh-CN"/>
              </w:rPr>
            </w:pPr>
            <w:r>
              <w:rPr>
                <w:rFonts w:hint="eastAsia"/>
                <w:color w:val="auto"/>
                <w:szCs w:val="21"/>
                <w:lang w:val="en-US" w:eastAsia="zh-CN"/>
              </w:rPr>
              <w:t>（3）环境风险</w:t>
            </w:r>
          </w:p>
          <w:p>
            <w:pPr>
              <w:spacing w:line="360" w:lineRule="auto"/>
              <w:ind w:firstLine="420" w:firstLineChars="200"/>
              <w:rPr>
                <w:color w:val="auto"/>
              </w:rPr>
            </w:pPr>
            <w:r>
              <w:rPr>
                <w:rFonts w:hint="eastAsia"/>
                <w:color w:val="auto"/>
                <w:szCs w:val="21"/>
                <w:lang w:val="en-US" w:eastAsia="zh-CN"/>
              </w:rPr>
              <w:t>根据建设单位提供资料，本项目施工时采用移动式加油车，随加随走，且项目施工过程中不涉及危险物质的暂存和使用，根据《建设项目环境风险评价技术导则》（HJ169-2018），项目可不进行环境风险影响评价。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879" w:type="dxa"/>
            <w:tcMar>
              <w:left w:w="28" w:type="dxa"/>
              <w:right w:w="28" w:type="dxa"/>
            </w:tcMar>
            <w:vAlign w:val="center"/>
          </w:tcPr>
          <w:p>
            <w:pPr>
              <w:pStyle w:val="15"/>
              <w:adjustRightInd w:val="0"/>
              <w:snapToGrid w:val="0"/>
              <w:spacing w:before="0" w:beforeAutospacing="0" w:after="0" w:afterAutospacing="0"/>
              <w:jc w:val="center"/>
              <w:rPr>
                <w:rFonts w:ascii="Times New Roman" w:hAnsi="Times New Roman"/>
                <w:bCs/>
                <w:color w:val="auto"/>
                <w:kern w:val="2"/>
                <w:sz w:val="21"/>
                <w:szCs w:val="21"/>
              </w:rPr>
            </w:pPr>
            <w:r>
              <w:rPr>
                <w:rFonts w:ascii="Times New Roman" w:hAnsi="Times New Roman"/>
                <w:bCs/>
                <w:color w:val="auto"/>
                <w:spacing w:val="10"/>
                <w:kern w:val="2"/>
                <w:sz w:val="21"/>
                <w:szCs w:val="21"/>
              </w:rPr>
              <w:t>运营期生态环境影响分析</w:t>
            </w:r>
          </w:p>
        </w:tc>
        <w:tc>
          <w:tcPr>
            <w:tcW w:w="8363" w:type="dxa"/>
            <w:vAlign w:val="center"/>
          </w:tcPr>
          <w:p>
            <w:pPr>
              <w:spacing w:line="360" w:lineRule="auto"/>
              <w:ind w:firstLine="420" w:firstLineChars="200"/>
              <w:jc w:val="center"/>
              <w:rPr>
                <w:color w:val="auto"/>
                <w:lang w:val="zh-CN"/>
              </w:rPr>
            </w:pPr>
            <w:r>
              <w:rPr>
                <w:rFonts w:hint="eastAsia"/>
                <w:color w:val="auto"/>
                <w:szCs w:val="21"/>
                <w:lang w:val="en-US" w:eastAsia="zh-CN"/>
              </w:rPr>
              <w:t>项目为防洪治理工程项目，建成后运营期无污染，故不对运营期环境影响进行分析。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879" w:type="dxa"/>
            <w:vAlign w:val="center"/>
          </w:tcPr>
          <w:p>
            <w:pPr>
              <w:pStyle w:val="15"/>
              <w:adjustRightInd w:val="0"/>
              <w:snapToGrid w:val="0"/>
              <w:spacing w:before="0" w:beforeAutospacing="0" w:after="0" w:afterAutospacing="0"/>
              <w:jc w:val="center"/>
              <w:rPr>
                <w:rFonts w:ascii="Times New Roman" w:hAnsi="Times New Roman"/>
                <w:bCs/>
                <w:color w:val="auto"/>
                <w:kern w:val="2"/>
                <w:sz w:val="21"/>
                <w:szCs w:val="21"/>
              </w:rPr>
            </w:pPr>
            <w:r>
              <w:rPr>
                <w:rFonts w:ascii="Times New Roman" w:hAnsi="Times New Roman"/>
                <w:bCs/>
                <w:color w:val="auto"/>
                <w:kern w:val="2"/>
                <w:sz w:val="21"/>
                <w:szCs w:val="21"/>
              </w:rPr>
              <w:t>选址选线环境合理性分析</w:t>
            </w:r>
          </w:p>
        </w:tc>
        <w:tc>
          <w:tcPr>
            <w:tcW w:w="8363" w:type="dxa"/>
            <w:vAlign w:val="center"/>
          </w:tcPr>
          <w:p>
            <w:pPr>
              <w:spacing w:line="360" w:lineRule="auto"/>
              <w:ind w:firstLine="420" w:firstLineChars="200"/>
              <w:rPr>
                <w:rFonts w:hint="eastAsia"/>
                <w:color w:val="auto"/>
                <w:szCs w:val="21"/>
                <w:lang w:val="en-US" w:eastAsia="zh-CN"/>
              </w:rPr>
            </w:pPr>
            <w:r>
              <w:rPr>
                <w:rFonts w:hint="eastAsia"/>
                <w:color w:val="auto"/>
                <w:szCs w:val="21"/>
                <w:lang w:val="en-US" w:eastAsia="zh-CN"/>
              </w:rPr>
              <w:t>本工程以防洪为重点，工程任务是完善防洪体系，保障防护区内人民财产安全，确保正常生产秩序和保护河流沿线居民的安全，改善该区域生态环境。工程实施后将提高了河道防洪、行洪能力，改善了区域水域及陆域生态环境。本工程永久占地主要为内河滩涂划定堤防线，临时占地类型主要为内河滩涂、耕地、未利用地等，不涉及移民拆迁。</w:t>
            </w:r>
          </w:p>
          <w:p>
            <w:pPr>
              <w:spacing w:line="360" w:lineRule="auto"/>
              <w:ind w:firstLine="420" w:firstLineChars="200"/>
              <w:rPr>
                <w:rFonts w:ascii="Times New Roman" w:hAnsi="Times New Roman"/>
                <w:color w:val="auto"/>
              </w:rPr>
            </w:pPr>
            <w:r>
              <w:rPr>
                <w:rFonts w:hint="eastAsia"/>
                <w:color w:val="auto"/>
                <w:szCs w:val="21"/>
                <w:lang w:val="en-US" w:eastAsia="zh-CN"/>
              </w:rPr>
              <w:t>综上所述，项目从占地合理性角度分析，选址选线均符合相关要求。</w:t>
            </w:r>
          </w:p>
        </w:tc>
      </w:tr>
    </w:tbl>
    <w:p>
      <w:pPr>
        <w:pStyle w:val="15"/>
        <w:jc w:val="center"/>
        <w:rPr>
          <w:rFonts w:ascii="Times New Roman" w:hAnsi="Times New Roman" w:eastAsia="黑体"/>
          <w:snapToGrid w:val="0"/>
          <w:color w:val="auto"/>
          <w:sz w:val="36"/>
          <w:szCs w:val="36"/>
        </w:rPr>
        <w:sectPr>
          <w:pgSz w:w="11906" w:h="16838"/>
          <w:pgMar w:top="1440" w:right="1800" w:bottom="1440" w:left="1800" w:header="851" w:footer="1077" w:gutter="0"/>
          <w:pgBorders>
            <w:top w:val="none" w:sz="0" w:space="0"/>
            <w:left w:val="none" w:sz="0" w:space="0"/>
            <w:bottom w:val="none" w:sz="0" w:space="0"/>
            <w:right w:val="none" w:sz="0" w:space="0"/>
          </w:pgBorders>
          <w:pgNumType w:fmt="decimal"/>
          <w:cols w:space="425" w:num="1"/>
          <w:docGrid w:linePitch="312" w:charSpace="0"/>
        </w:sectPr>
      </w:pPr>
    </w:p>
    <w:p>
      <w:pPr>
        <w:pStyle w:val="15"/>
        <w:adjustRightInd w:val="0"/>
        <w:snapToGrid w:val="0"/>
        <w:spacing w:before="0" w:beforeAutospacing="0" w:after="0" w:afterAutospacing="0" w:line="14" w:lineRule="auto"/>
        <w:jc w:val="center"/>
        <w:outlineLvl w:val="0"/>
        <w:rPr>
          <w:rFonts w:ascii="Times New Roman" w:hAnsi="Times New Roman" w:eastAsia="黑体"/>
          <w:snapToGrid w:val="0"/>
          <w:color w:val="auto"/>
          <w:sz w:val="30"/>
          <w:szCs w:val="30"/>
        </w:rPr>
      </w:pPr>
    </w:p>
    <w:p>
      <w:pPr>
        <w:pStyle w:val="15"/>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五、主要生态环境保护措施</w:t>
      </w:r>
    </w:p>
    <w:tbl>
      <w:tblPr>
        <w:tblStyle w:val="18"/>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2" w:hRule="atLeast"/>
          <w:jc w:val="center"/>
        </w:trPr>
        <w:tc>
          <w:tcPr>
            <w:tcW w:w="753" w:type="dxa"/>
            <w:tcMar>
              <w:left w:w="28" w:type="dxa"/>
              <w:right w:w="28" w:type="dxa"/>
            </w:tcMar>
            <w:vAlign w:val="center"/>
          </w:tcPr>
          <w:p>
            <w:pPr>
              <w:adjustRightInd w:val="0"/>
              <w:snapToGrid w:val="0"/>
              <w:jc w:val="center"/>
              <w:rPr>
                <w:bCs/>
                <w:color w:val="auto"/>
                <w:szCs w:val="21"/>
              </w:rPr>
            </w:pPr>
            <w:r>
              <w:rPr>
                <w:bCs/>
                <w:color w:val="auto"/>
                <w:spacing w:val="10"/>
                <w:szCs w:val="21"/>
              </w:rPr>
              <w:t>施工期生态环境保护措施</w:t>
            </w:r>
          </w:p>
        </w:tc>
        <w:tc>
          <w:tcPr>
            <w:tcW w:w="8457" w:type="dxa"/>
          </w:tcPr>
          <w:p>
            <w:pPr>
              <w:keepNext/>
              <w:keepLines/>
              <w:spacing w:line="360" w:lineRule="auto"/>
              <w:outlineLvl w:val="3"/>
              <w:rPr>
                <w:b/>
                <w:bCs/>
                <w:color w:val="auto"/>
                <w:szCs w:val="21"/>
              </w:rPr>
            </w:pPr>
            <w:r>
              <w:rPr>
                <w:b/>
                <w:bCs/>
                <w:color w:val="auto"/>
                <w:szCs w:val="21"/>
              </w:rPr>
              <w:t>一、生态环境保护措施</w:t>
            </w:r>
          </w:p>
          <w:p>
            <w:pPr>
              <w:spacing w:line="360" w:lineRule="auto"/>
              <w:ind w:firstLine="420" w:firstLineChars="200"/>
              <w:rPr>
                <w:rFonts w:hint="eastAsia"/>
                <w:color w:val="auto"/>
                <w:szCs w:val="21"/>
                <w:lang w:val="en-US" w:eastAsia="zh-CN"/>
              </w:rPr>
            </w:pPr>
            <w:r>
              <w:rPr>
                <w:rFonts w:hint="eastAsia"/>
                <w:color w:val="auto"/>
                <w:szCs w:val="21"/>
                <w:lang w:val="en-US" w:eastAsia="zh-CN"/>
              </w:rPr>
              <w:t>本项目施工河道不涉及自然保护区，无重要生态敏感区和特殊生态敏感区，无饮用水源取水口；根据《环境影响评价技术导则生态影响》（</w:t>
            </w:r>
            <w:r>
              <w:rPr>
                <w:rFonts w:hint="default"/>
                <w:color w:val="auto"/>
                <w:szCs w:val="21"/>
                <w:lang w:val="en-US" w:eastAsia="zh-CN"/>
              </w:rPr>
              <w:t>HJ19-20</w:t>
            </w:r>
            <w:r>
              <w:rPr>
                <w:rFonts w:hint="eastAsia"/>
                <w:color w:val="auto"/>
                <w:szCs w:val="21"/>
                <w:lang w:val="en-US" w:eastAsia="zh-CN"/>
              </w:rPr>
              <w:t>22）规定，评价范围应涵盖项目全部活动的直接影响区和间接影响区域，评价范围为施工范围内及起点上游</w:t>
            </w:r>
            <w:r>
              <w:rPr>
                <w:rFonts w:hint="default"/>
                <w:color w:val="auto"/>
                <w:szCs w:val="21"/>
                <w:lang w:val="en-US" w:eastAsia="zh-CN"/>
              </w:rPr>
              <w:t>500m</w:t>
            </w:r>
            <w:r>
              <w:rPr>
                <w:rFonts w:hint="eastAsia"/>
                <w:color w:val="auto"/>
                <w:szCs w:val="21"/>
                <w:lang w:val="en-US" w:eastAsia="zh-CN"/>
              </w:rPr>
              <w:t>、终点下游10</w:t>
            </w:r>
            <w:r>
              <w:rPr>
                <w:rFonts w:hint="default"/>
                <w:color w:val="auto"/>
                <w:szCs w:val="21"/>
                <w:lang w:val="en-US" w:eastAsia="zh-CN"/>
              </w:rPr>
              <w:t>00m</w:t>
            </w:r>
            <w:r>
              <w:rPr>
                <w:rFonts w:hint="eastAsia"/>
                <w:color w:val="auto"/>
                <w:szCs w:val="21"/>
                <w:lang w:val="en-US" w:eastAsia="zh-CN"/>
              </w:rPr>
              <w:t>。考虑工程施工组织设计中施工道路、施工区等临时占地范围。</w:t>
            </w:r>
          </w:p>
          <w:p>
            <w:pPr>
              <w:spacing w:line="360" w:lineRule="auto"/>
              <w:ind w:firstLine="420" w:firstLineChars="200"/>
              <w:rPr>
                <w:rFonts w:hint="eastAsia"/>
                <w:color w:val="auto"/>
                <w:szCs w:val="21"/>
                <w:lang w:val="en-US" w:eastAsia="zh-CN"/>
              </w:rPr>
            </w:pPr>
            <w:r>
              <w:rPr>
                <w:rFonts w:hint="eastAsia"/>
                <w:color w:val="auto"/>
                <w:szCs w:val="21"/>
                <w:lang w:val="en-US" w:eastAsia="zh-CN"/>
              </w:rPr>
              <w:t xml:space="preserve">1、施工占地保护措施 </w:t>
            </w:r>
          </w:p>
          <w:p>
            <w:pPr>
              <w:spacing w:line="360" w:lineRule="auto"/>
              <w:ind w:firstLine="420" w:firstLineChars="200"/>
              <w:rPr>
                <w:rFonts w:hint="eastAsia"/>
                <w:color w:val="auto"/>
                <w:szCs w:val="21"/>
                <w:lang w:val="en-US" w:eastAsia="zh-CN"/>
              </w:rPr>
            </w:pPr>
            <w:r>
              <w:rPr>
                <w:rFonts w:hint="eastAsia"/>
                <w:color w:val="auto"/>
                <w:szCs w:val="21"/>
                <w:lang w:val="en-US" w:eastAsia="zh-CN"/>
              </w:rPr>
              <w:t>由于工程占地少，涉及河道长度短，另外植被类型主要以荒草为主，施工对占地范围内植被影响小，因此，工程施工占地影响较小。施工临时道路应充分利用现有田间道路或工程范围内用地，工程范围外尽量不开设或少开设施工道路。临时施工道路的开挖应按照不同的地质条件，设置不同的开挖边坡，以保证边坡的安全稳定，路基坡底已设排水沟，以利于排水。在施工完毕后对所有临时施工道路区域进行清理，拆除地上建筑物。</w:t>
            </w:r>
          </w:p>
          <w:p>
            <w:pPr>
              <w:spacing w:line="360" w:lineRule="auto"/>
              <w:ind w:firstLine="420" w:firstLineChars="200"/>
              <w:rPr>
                <w:rFonts w:hint="eastAsia"/>
                <w:color w:val="auto"/>
                <w:szCs w:val="21"/>
                <w:lang w:val="en-US" w:eastAsia="zh-CN"/>
              </w:rPr>
            </w:pPr>
            <w:r>
              <w:rPr>
                <w:rFonts w:hint="eastAsia"/>
                <w:color w:val="auto"/>
                <w:szCs w:val="21"/>
                <w:lang w:val="en-US" w:eastAsia="zh-CN"/>
              </w:rPr>
              <w:t>施工临时占地对该区土地只是建设期的临时影响，施工结束后可基本恢复。</w:t>
            </w:r>
          </w:p>
          <w:p>
            <w:pPr>
              <w:spacing w:line="360" w:lineRule="auto"/>
              <w:ind w:firstLine="420" w:firstLineChars="200"/>
              <w:rPr>
                <w:rFonts w:hint="eastAsia"/>
                <w:color w:val="auto"/>
                <w:szCs w:val="21"/>
                <w:lang w:val="en-US" w:eastAsia="zh-CN"/>
              </w:rPr>
            </w:pPr>
            <w:r>
              <w:rPr>
                <w:rFonts w:hint="eastAsia"/>
                <w:color w:val="auto"/>
                <w:szCs w:val="21"/>
                <w:lang w:val="en-US" w:eastAsia="zh-CN"/>
              </w:rPr>
              <w:t>2、植被破坏保护措施</w:t>
            </w:r>
          </w:p>
          <w:p>
            <w:pPr>
              <w:spacing w:line="360" w:lineRule="auto"/>
              <w:ind w:firstLine="420" w:firstLineChars="200"/>
              <w:rPr>
                <w:rFonts w:hint="eastAsia"/>
                <w:color w:val="auto"/>
                <w:szCs w:val="21"/>
                <w:lang w:val="en-US" w:eastAsia="zh-CN"/>
              </w:rPr>
            </w:pPr>
            <w:r>
              <w:rPr>
                <w:rFonts w:hint="eastAsia"/>
                <w:color w:val="auto"/>
                <w:szCs w:val="21"/>
                <w:lang w:val="en-US" w:eastAsia="zh-CN"/>
              </w:rPr>
              <w:t>为减轻施工期对植被的影响，评价要求施工期建设单位采取以下污染防治措施：</w:t>
            </w:r>
          </w:p>
          <w:p>
            <w:pPr>
              <w:spacing w:line="360" w:lineRule="auto"/>
              <w:ind w:firstLine="420" w:firstLineChars="200"/>
              <w:rPr>
                <w:rFonts w:hint="eastAsia"/>
                <w:color w:val="auto"/>
                <w:szCs w:val="21"/>
                <w:lang w:val="en-US" w:eastAsia="zh-CN"/>
              </w:rPr>
            </w:pPr>
            <w:r>
              <w:rPr>
                <w:rFonts w:hint="eastAsia"/>
                <w:color w:val="auto"/>
                <w:szCs w:val="21"/>
                <w:lang w:val="en-US" w:eastAsia="zh-CN"/>
              </w:rPr>
              <w:t>（1）施工期严格控制施工作业带，避免超挖破坏周围植被，严格保护临时用地内植被，减少植被损坏，保护区域生态环境功能。施工过程中保护好表层土壤，施工结束后及时清理清除施工遗留不利于作物生长的杂物，恢复土层，对临时占地、裸地进行平整绿化；采用乡土物种或者占用地原有物种对临时占地进行绿化，乡土物种或者占用地原有物种不但容易存活，而且可防止外来物种入侵，减少生态风险；</w:t>
            </w:r>
          </w:p>
          <w:p>
            <w:pPr>
              <w:spacing w:line="360" w:lineRule="auto"/>
              <w:ind w:firstLine="420" w:firstLineChars="200"/>
              <w:rPr>
                <w:rFonts w:hint="eastAsia"/>
                <w:color w:val="auto"/>
                <w:szCs w:val="21"/>
                <w:lang w:val="en-US" w:eastAsia="zh-CN"/>
              </w:rPr>
            </w:pPr>
            <w:r>
              <w:rPr>
                <w:rFonts w:hint="eastAsia"/>
                <w:color w:val="auto"/>
                <w:szCs w:val="21"/>
                <w:lang w:val="en-US" w:eastAsia="zh-CN"/>
              </w:rPr>
              <w:t>（2）加强绿化植物的管理维护，建立专门的绿化管理机构，采取浇灌抚育管护等措施，确保绿化物种的成活以及绿化效果。整体来看，本项目施工期占地面积较小，对该区土地资源不会造成太大影响，不会危及到某一类型生态体系的完整性和稳定性，不会造成当地土地利用功能和性质改变。施工结束后通过对施工期临时占地进行功能恢复，可进一步降低占地影响。</w:t>
            </w:r>
          </w:p>
          <w:p>
            <w:pPr>
              <w:spacing w:line="360" w:lineRule="auto"/>
              <w:ind w:firstLine="420" w:firstLineChars="200"/>
              <w:rPr>
                <w:rFonts w:hint="eastAsia"/>
                <w:color w:val="auto"/>
                <w:szCs w:val="21"/>
                <w:lang w:val="en-US" w:eastAsia="zh-CN"/>
              </w:rPr>
            </w:pPr>
            <w:r>
              <w:rPr>
                <w:rFonts w:hint="eastAsia"/>
                <w:color w:val="auto"/>
                <w:szCs w:val="21"/>
                <w:lang w:val="en-US" w:eastAsia="zh-CN"/>
              </w:rPr>
              <w:t>3、工程对水生生物的影响保护措施</w:t>
            </w:r>
          </w:p>
          <w:p>
            <w:pPr>
              <w:spacing w:line="360" w:lineRule="auto"/>
              <w:ind w:firstLine="420" w:firstLineChars="200"/>
              <w:rPr>
                <w:rFonts w:hint="eastAsia"/>
                <w:color w:val="auto"/>
                <w:szCs w:val="21"/>
                <w:lang w:val="en-US" w:eastAsia="zh-CN"/>
              </w:rPr>
            </w:pPr>
            <w:r>
              <w:rPr>
                <w:rFonts w:hint="eastAsia"/>
                <w:color w:val="auto"/>
                <w:szCs w:val="21"/>
                <w:lang w:val="en-US" w:eastAsia="zh-CN"/>
              </w:rPr>
              <w:t>本工程施工期基坑开挖、施工导流产生的废水和泥沙如不采取措施直接排放，会导致施工河段水体透明度及溶解氧降低，导致区域内浮游生物种类发生变化。施工期间产生的固体废物、生产废水及施工人员生活污水处理不当可能会对工程区域水环境产生污染，导致施工河段原有底栖生物及鱼类栖息条件环境发生改变，使施工区域底栖生物及鱼类密度降低。</w:t>
            </w:r>
          </w:p>
          <w:p>
            <w:pPr>
              <w:spacing w:line="360" w:lineRule="auto"/>
              <w:ind w:firstLine="420" w:firstLineChars="200"/>
              <w:rPr>
                <w:rFonts w:hint="eastAsia"/>
                <w:color w:val="auto"/>
                <w:szCs w:val="21"/>
                <w:lang w:val="en-US" w:eastAsia="zh-CN"/>
              </w:rPr>
            </w:pPr>
            <w:r>
              <w:rPr>
                <w:rFonts w:hint="eastAsia"/>
                <w:color w:val="auto"/>
                <w:szCs w:val="21"/>
                <w:lang w:val="en-US" w:eastAsia="zh-CN"/>
              </w:rPr>
              <w:t>为降低项目施工期对水生生物产生影响，评价要求施工期采取以下防治措施：</w:t>
            </w:r>
          </w:p>
          <w:p>
            <w:pPr>
              <w:spacing w:line="360" w:lineRule="auto"/>
              <w:ind w:firstLine="420" w:firstLineChars="200"/>
              <w:rPr>
                <w:rFonts w:hint="eastAsia"/>
                <w:color w:val="auto"/>
                <w:szCs w:val="21"/>
                <w:lang w:val="en-US" w:eastAsia="zh-CN"/>
              </w:rPr>
            </w:pPr>
            <w:r>
              <w:rPr>
                <w:rFonts w:hint="eastAsia"/>
                <w:color w:val="auto"/>
                <w:szCs w:val="21"/>
                <w:lang w:val="en-US" w:eastAsia="zh-CN"/>
              </w:rPr>
              <w:t>（1）施工期做好施工导流，以减轻施工活动对河流水体的扰动。施工期间施工废水处理后全部回用不外排，本项目不设施工营地，生活盥洗水收集后用于洒水抑尘，施工场地员工粪便污水，利用移动环保厕所收集，定期清掏，用于农肥，不外排。禁止在河道内存放油料和进行施工机械维修，以免油料堆放场地和维修废水等污染物质进入地表水体，影响河流水质。</w:t>
            </w:r>
          </w:p>
          <w:p>
            <w:pPr>
              <w:spacing w:line="360" w:lineRule="auto"/>
              <w:ind w:firstLine="420" w:firstLineChars="200"/>
              <w:rPr>
                <w:rFonts w:hint="eastAsia"/>
                <w:color w:val="auto"/>
                <w:szCs w:val="21"/>
                <w:lang w:val="en-US" w:eastAsia="zh-CN"/>
              </w:rPr>
            </w:pPr>
            <w:r>
              <w:rPr>
                <w:rFonts w:hint="eastAsia"/>
                <w:color w:val="auto"/>
                <w:szCs w:val="21"/>
                <w:lang w:val="en-US" w:eastAsia="zh-CN"/>
              </w:rPr>
              <w:t>（2）施工中产生的废渣等应尽量做到回用，不能回用拉运建筑垃圾填埋场处理，严禁随意堆放、丢弃；生活垃圾应进行分类收集，及时清运处理，严禁向河道河流水体倾倒，防止污染水体。</w:t>
            </w:r>
          </w:p>
          <w:p>
            <w:pPr>
              <w:spacing w:line="360" w:lineRule="auto"/>
              <w:ind w:firstLine="420" w:firstLineChars="200"/>
              <w:rPr>
                <w:rFonts w:hint="eastAsia"/>
                <w:color w:val="auto"/>
                <w:szCs w:val="21"/>
                <w:lang w:val="en-US" w:eastAsia="zh-CN"/>
              </w:rPr>
            </w:pPr>
            <w:r>
              <w:rPr>
                <w:rFonts w:hint="eastAsia"/>
                <w:color w:val="auto"/>
                <w:szCs w:val="21"/>
                <w:lang w:val="en-US" w:eastAsia="zh-CN"/>
              </w:rPr>
              <w:t>（3）施工期禁止引进外来鱼类；严禁施工人员毁坏、捕杀水生动植物。</w:t>
            </w:r>
          </w:p>
          <w:p>
            <w:pPr>
              <w:spacing w:line="360" w:lineRule="auto"/>
              <w:ind w:firstLine="420" w:firstLineChars="200"/>
              <w:rPr>
                <w:rFonts w:hint="eastAsia"/>
                <w:color w:val="auto"/>
                <w:szCs w:val="21"/>
                <w:lang w:val="en-US" w:eastAsia="zh-CN"/>
              </w:rPr>
            </w:pPr>
            <w:r>
              <w:rPr>
                <w:rFonts w:hint="eastAsia"/>
                <w:color w:val="auto"/>
                <w:szCs w:val="21"/>
                <w:lang w:val="en-US" w:eastAsia="zh-CN"/>
              </w:rPr>
              <w:t>总体来看，由于本项目施工期较短、施工期所有废水及固体废物得到合理处置，杜绝向水体排污，项目区的生态环境在施工期会受到一定的影响，但影响较小，施工结束后将会快速得到恢复。</w:t>
            </w:r>
          </w:p>
          <w:p>
            <w:pPr>
              <w:spacing w:line="360" w:lineRule="auto"/>
              <w:ind w:firstLine="420" w:firstLineChars="200"/>
              <w:rPr>
                <w:rFonts w:hint="eastAsia"/>
                <w:color w:val="auto"/>
                <w:szCs w:val="21"/>
                <w:lang w:val="en-US" w:eastAsia="zh-CN"/>
              </w:rPr>
            </w:pPr>
            <w:r>
              <w:rPr>
                <w:rFonts w:hint="eastAsia"/>
                <w:color w:val="auto"/>
                <w:szCs w:val="21"/>
                <w:lang w:val="en-US" w:eastAsia="zh-CN"/>
              </w:rPr>
              <w:t>4、水生生态系统保护措施</w:t>
            </w:r>
          </w:p>
          <w:p>
            <w:pPr>
              <w:spacing w:line="360" w:lineRule="auto"/>
              <w:ind w:firstLine="420" w:firstLineChars="200"/>
              <w:rPr>
                <w:rFonts w:hint="eastAsia"/>
                <w:color w:val="auto"/>
                <w:szCs w:val="21"/>
                <w:lang w:val="en-US" w:eastAsia="zh-CN"/>
              </w:rPr>
            </w:pPr>
            <w:r>
              <w:rPr>
                <w:rFonts w:hint="eastAsia"/>
                <w:color w:val="auto"/>
                <w:szCs w:val="21"/>
                <w:lang w:val="en-US" w:eastAsia="zh-CN"/>
              </w:rPr>
              <w:t>项目在河道区域进行平整工程，不直接影响水生生态系统。</w:t>
            </w:r>
          </w:p>
          <w:p>
            <w:pPr>
              <w:spacing w:line="360" w:lineRule="auto"/>
              <w:ind w:firstLine="420" w:firstLineChars="200"/>
              <w:rPr>
                <w:rFonts w:hint="eastAsia"/>
                <w:color w:val="auto"/>
                <w:szCs w:val="21"/>
                <w:lang w:val="en-US" w:eastAsia="zh-CN"/>
              </w:rPr>
            </w:pPr>
            <w:r>
              <w:rPr>
                <w:rFonts w:hint="eastAsia"/>
                <w:color w:val="auto"/>
                <w:szCs w:val="21"/>
                <w:lang w:val="en-US" w:eastAsia="zh-CN"/>
              </w:rPr>
              <w:t>施工期将上游水源导流后，排除河道内积水，河道内现有水生生物将进入下游水体内，使现有水生生物的环境发生改变，但影响不大。随着工程完工，区域环境改善，引入新的河水，区域内过水能力大大增加，将有利于河道对污染物的降解能力，水质明显改善，水生态环境大为改观，适宜本地生长的鱼类及浮游植物等水生生物数量、种类将大大增加，新的水生生态系统和生态平衡将会重新形成。</w:t>
            </w:r>
          </w:p>
          <w:p>
            <w:pPr>
              <w:spacing w:line="360" w:lineRule="auto"/>
              <w:ind w:firstLine="420" w:firstLineChars="200"/>
              <w:rPr>
                <w:rFonts w:hint="eastAsia"/>
                <w:color w:val="auto"/>
                <w:szCs w:val="21"/>
                <w:lang w:val="en-US" w:eastAsia="zh-CN"/>
              </w:rPr>
            </w:pPr>
            <w:r>
              <w:rPr>
                <w:rFonts w:hint="eastAsia"/>
                <w:color w:val="auto"/>
                <w:szCs w:val="21"/>
                <w:lang w:val="en-US" w:eastAsia="zh-CN"/>
              </w:rPr>
              <w:t>5、对陆生动物的保护措施</w:t>
            </w:r>
          </w:p>
          <w:p>
            <w:pPr>
              <w:spacing w:line="360" w:lineRule="auto"/>
              <w:ind w:firstLine="420" w:firstLineChars="200"/>
              <w:rPr>
                <w:rFonts w:hint="eastAsia"/>
                <w:color w:val="auto"/>
                <w:szCs w:val="21"/>
                <w:lang w:val="en-US" w:eastAsia="zh-CN"/>
              </w:rPr>
            </w:pPr>
            <w:r>
              <w:rPr>
                <w:rFonts w:hint="eastAsia"/>
                <w:color w:val="auto"/>
                <w:szCs w:val="21"/>
                <w:lang w:val="en-US" w:eastAsia="zh-CN"/>
              </w:rPr>
              <w:t xml:space="preserve">本项目评价区受人类活动影响较大，野生动物种类贫乏，现有的野生动物多为一些常见的啮齿类动物、昆虫及鸟类，没有大型野生哺乳动物。施工期施工队伍进驻造成人类活动频繁，以及各类施工活动产生的噪声、扬尘、废气等，会对施工区及其附近的野生动物生存、繁殖产生干扰，使该区域野生动物栖息适宜度降低。野生动物可能由于栖息地受到干扰而外迁，种类、数量减少。为减轻施工对野生动物的影响，施工期应采取以下措施： </w:t>
            </w:r>
          </w:p>
          <w:p>
            <w:pPr>
              <w:spacing w:line="360" w:lineRule="auto"/>
              <w:ind w:firstLine="420" w:firstLineChars="200"/>
              <w:rPr>
                <w:rFonts w:hint="eastAsia"/>
                <w:color w:val="auto"/>
                <w:szCs w:val="21"/>
                <w:lang w:val="en-US" w:eastAsia="zh-CN"/>
              </w:rPr>
            </w:pPr>
            <w:r>
              <w:rPr>
                <w:rFonts w:hint="eastAsia"/>
                <w:color w:val="auto"/>
                <w:szCs w:val="21"/>
                <w:lang w:val="en-US" w:eastAsia="zh-CN"/>
              </w:rPr>
              <w:t xml:space="preserve">（1）加大宣教力度，在施工期大力宣传野生动物保护法。通过图片教育、公告、宣传册发放等形式，增强施工人员环保意识，并设保护动物宣传牌。 </w:t>
            </w:r>
          </w:p>
          <w:p>
            <w:pPr>
              <w:spacing w:line="360" w:lineRule="auto"/>
              <w:ind w:firstLine="420" w:firstLineChars="200"/>
              <w:rPr>
                <w:rFonts w:hint="eastAsia"/>
                <w:color w:val="auto"/>
                <w:szCs w:val="21"/>
                <w:lang w:val="en-US" w:eastAsia="zh-CN"/>
              </w:rPr>
            </w:pPr>
            <w:r>
              <w:rPr>
                <w:rFonts w:hint="eastAsia"/>
                <w:color w:val="auto"/>
                <w:szCs w:val="21"/>
                <w:lang w:val="en-US" w:eastAsia="zh-CN"/>
              </w:rPr>
              <w:t xml:space="preserve">（2）施工单位必须禁止施工人员随意捕猎和惊吓各类野生动物；施工过程中若发现蛇、青蛙等野生动物应采取保护措施。 </w:t>
            </w:r>
          </w:p>
          <w:p>
            <w:pPr>
              <w:spacing w:line="360" w:lineRule="auto"/>
              <w:ind w:firstLine="420" w:firstLineChars="200"/>
              <w:rPr>
                <w:rFonts w:hint="eastAsia"/>
                <w:color w:val="auto"/>
                <w:szCs w:val="21"/>
                <w:lang w:val="en-US" w:eastAsia="zh-CN"/>
              </w:rPr>
            </w:pPr>
            <w:r>
              <w:rPr>
                <w:rFonts w:hint="eastAsia"/>
                <w:color w:val="auto"/>
                <w:szCs w:val="21"/>
                <w:lang w:val="en-US" w:eastAsia="zh-CN"/>
              </w:rPr>
              <w:t xml:space="preserve">（3）合理组织施工生产，合理安排高噪声机械施工时间。禁止安排在夜间作业，以免惊扰动物栖息、觅食等活动。 </w:t>
            </w:r>
          </w:p>
          <w:p>
            <w:pPr>
              <w:spacing w:line="360" w:lineRule="auto"/>
              <w:ind w:firstLine="420" w:firstLineChars="200"/>
              <w:rPr>
                <w:color w:val="auto"/>
              </w:rPr>
            </w:pPr>
            <w:r>
              <w:rPr>
                <w:rFonts w:hint="eastAsia"/>
                <w:color w:val="auto"/>
                <w:szCs w:val="21"/>
                <w:lang w:val="en-US" w:eastAsia="zh-CN"/>
              </w:rPr>
              <w:t>本项目施工期短暂，施工结束随着施工区域植被逐渐恢复，生态环境将得到逐步改善，部分迁走动物将返回，与建设前相比，施工结束后所在区域陆生动物量将基本不变。</w:t>
            </w:r>
          </w:p>
          <w:p>
            <w:pPr>
              <w:keepNext/>
              <w:keepLines/>
              <w:spacing w:line="360" w:lineRule="auto"/>
              <w:outlineLvl w:val="3"/>
              <w:rPr>
                <w:b/>
                <w:bCs/>
                <w:color w:val="auto"/>
                <w:szCs w:val="21"/>
              </w:rPr>
            </w:pPr>
            <w:r>
              <w:rPr>
                <w:bCs/>
                <w:color w:val="auto"/>
                <w:spacing w:val="10"/>
                <w:szCs w:val="21"/>
              </w:rPr>
              <w:t>二</w:t>
            </w:r>
            <w:r>
              <w:rPr>
                <w:b/>
                <w:bCs/>
                <w:color w:val="auto"/>
                <w:szCs w:val="21"/>
              </w:rPr>
              <w:t>、声环境保护措施</w:t>
            </w:r>
          </w:p>
          <w:p>
            <w:pPr>
              <w:widowControl/>
              <w:spacing w:line="360" w:lineRule="auto"/>
              <w:ind w:firstLine="420" w:firstLineChars="200"/>
              <w:jc w:val="left"/>
              <w:rPr>
                <w:color w:val="auto"/>
                <w:kern w:val="0"/>
                <w:szCs w:val="21"/>
              </w:rPr>
            </w:pPr>
            <w:r>
              <w:rPr>
                <w:rFonts w:hint="eastAsia"/>
                <w:color w:val="auto"/>
                <w:kern w:val="0"/>
                <w:szCs w:val="21"/>
                <w:lang w:val="en-US" w:eastAsia="zh-CN"/>
              </w:rPr>
              <w:t>施工场地内机械设备大多属于移动声源，无法对施工机械进行叠加预测。单台施工机械约在</w:t>
            </w:r>
            <w:r>
              <w:rPr>
                <w:rFonts w:hint="default"/>
                <w:color w:val="auto"/>
                <w:kern w:val="0"/>
                <w:szCs w:val="21"/>
                <w:lang w:val="en-US" w:eastAsia="zh-CN"/>
              </w:rPr>
              <w:t>50m</w:t>
            </w:r>
            <w:r>
              <w:rPr>
                <w:rFonts w:hint="eastAsia"/>
                <w:color w:val="auto"/>
                <w:kern w:val="0"/>
                <w:szCs w:val="21"/>
                <w:lang w:val="en-US" w:eastAsia="zh-CN"/>
              </w:rPr>
              <w:t>以外噪声值才基本能达到施工阶段场界昼间噪声限值，夜间单台机械约在3</w:t>
            </w:r>
            <w:r>
              <w:rPr>
                <w:rFonts w:hint="default"/>
                <w:color w:val="auto"/>
                <w:kern w:val="0"/>
                <w:szCs w:val="21"/>
                <w:lang w:val="en-US" w:eastAsia="zh-CN"/>
              </w:rPr>
              <w:t>00m</w:t>
            </w:r>
            <w:r>
              <w:rPr>
                <w:rFonts w:hint="eastAsia"/>
                <w:color w:val="auto"/>
                <w:kern w:val="0"/>
                <w:szCs w:val="21"/>
                <w:lang w:val="en-US" w:eastAsia="zh-CN"/>
              </w:rPr>
              <w:t>以外噪声值才基本能达到施工阶段场界夜间噪声限值。为最大限度地减少施工期噪声对环境的影响，要求建设单位在工程施工期采取以下噪声控制措施：</w:t>
            </w:r>
          </w:p>
          <w:p>
            <w:pPr>
              <w:widowControl/>
              <w:spacing w:line="360" w:lineRule="auto"/>
              <w:ind w:firstLine="420" w:firstLineChars="200"/>
              <w:jc w:val="left"/>
              <w:rPr>
                <w:color w:val="auto"/>
                <w:kern w:val="0"/>
                <w:szCs w:val="21"/>
              </w:rPr>
            </w:pPr>
            <w:r>
              <w:rPr>
                <w:rFonts w:hint="eastAsia"/>
                <w:color w:val="auto"/>
                <w:kern w:val="0"/>
                <w:szCs w:val="21"/>
                <w:lang w:val="en-US" w:eastAsia="zh-CN"/>
              </w:rPr>
              <w:t>（1）从源头上降低噪声源强。必须选用符合国家噪声标准的设备，尽可能选用低噪声施工机械和工艺。</w:t>
            </w:r>
          </w:p>
          <w:p>
            <w:pPr>
              <w:widowControl/>
              <w:spacing w:line="360" w:lineRule="auto"/>
              <w:ind w:firstLine="420" w:firstLineChars="200"/>
              <w:jc w:val="left"/>
              <w:rPr>
                <w:color w:val="auto"/>
                <w:kern w:val="0"/>
                <w:szCs w:val="21"/>
              </w:rPr>
            </w:pPr>
            <w:r>
              <w:rPr>
                <w:rFonts w:hint="eastAsia"/>
                <w:color w:val="auto"/>
                <w:kern w:val="0"/>
                <w:szCs w:val="21"/>
                <w:lang w:val="en-US" w:eastAsia="zh-CN"/>
              </w:rPr>
              <w:t>（2）加强设备的维护和保养，保持设备良好运转状态，降低设备运行噪声。</w:t>
            </w:r>
          </w:p>
          <w:p>
            <w:pPr>
              <w:widowControl/>
              <w:spacing w:line="360" w:lineRule="auto"/>
              <w:ind w:firstLine="420" w:firstLineChars="200"/>
              <w:jc w:val="left"/>
              <w:rPr>
                <w:color w:val="auto"/>
                <w:kern w:val="0"/>
                <w:szCs w:val="21"/>
              </w:rPr>
            </w:pPr>
            <w:r>
              <w:rPr>
                <w:rFonts w:hint="eastAsia"/>
                <w:color w:val="auto"/>
                <w:kern w:val="0"/>
                <w:szCs w:val="21"/>
                <w:lang w:val="en-US" w:eastAsia="zh-CN"/>
              </w:rPr>
              <w:t>（3）在距离施工作业点较近居民区时，应设置简易挡墙或移动式围挡，隔离施工作业场地，对高噪声设备应增加阻尼金属减振器或橡胶减振垫以减少施工噪声对附近居民的影响。</w:t>
            </w:r>
          </w:p>
          <w:p>
            <w:pPr>
              <w:widowControl/>
              <w:spacing w:line="360" w:lineRule="auto"/>
              <w:ind w:firstLine="420" w:firstLineChars="200"/>
              <w:jc w:val="left"/>
              <w:rPr>
                <w:color w:val="auto"/>
                <w:kern w:val="0"/>
                <w:szCs w:val="21"/>
              </w:rPr>
            </w:pPr>
            <w:r>
              <w:rPr>
                <w:rFonts w:hint="eastAsia"/>
                <w:color w:val="auto"/>
                <w:kern w:val="0"/>
                <w:szCs w:val="21"/>
                <w:lang w:val="en-US" w:eastAsia="zh-CN"/>
              </w:rPr>
              <w:t>（4）合理安排施工时间，禁止夜间进行产生环境噪声污染的建筑施工作业，环评要求严重影响时段（</w:t>
            </w:r>
            <w:r>
              <w:rPr>
                <w:rFonts w:hint="default"/>
                <w:color w:val="auto"/>
                <w:kern w:val="0"/>
                <w:szCs w:val="21"/>
                <w:lang w:val="en-US" w:eastAsia="zh-CN"/>
              </w:rPr>
              <w:t>12:00~14:00</w:t>
            </w:r>
            <w:r>
              <w:rPr>
                <w:rFonts w:hint="eastAsia"/>
                <w:color w:val="auto"/>
                <w:kern w:val="0"/>
                <w:szCs w:val="21"/>
                <w:lang w:val="en-US" w:eastAsia="zh-CN"/>
              </w:rPr>
              <w:t>）应禁止高噪音、大型设备施工。为了有效地控制施工噪声影响，除落实有关的控制措施外，还必须加强施工环境管理，由环保部门实施统一的监督管理，建设单位与施工单位在工程承包时，应将环境保护内容列入承包合同，落实各项施工噪声的控制措施和有关主管部门的要求。据现场调查，运输道路</w:t>
            </w:r>
            <w:r>
              <w:rPr>
                <w:rFonts w:hint="default"/>
                <w:color w:val="auto"/>
                <w:kern w:val="0"/>
                <w:szCs w:val="21"/>
                <w:lang w:val="en-US" w:eastAsia="zh-CN"/>
              </w:rPr>
              <w:t>200m</w:t>
            </w:r>
            <w:r>
              <w:rPr>
                <w:rFonts w:hint="eastAsia"/>
                <w:color w:val="auto"/>
                <w:kern w:val="0"/>
                <w:szCs w:val="21"/>
                <w:lang w:val="en-US" w:eastAsia="zh-CN"/>
              </w:rPr>
              <w:t>范围内有居民集中居住区，但由于项目夜间不施工，因此，在加强施工噪声管理之后施工噪声对周围环境影响可以接受。</w:t>
            </w:r>
          </w:p>
          <w:p>
            <w:pPr>
              <w:pStyle w:val="5"/>
              <w:spacing w:before="0" w:after="0" w:line="360" w:lineRule="auto"/>
              <w:rPr>
                <w:bCs w:val="0"/>
                <w:color w:val="auto"/>
                <w:spacing w:val="4"/>
                <w:sz w:val="21"/>
                <w:szCs w:val="21"/>
              </w:rPr>
            </w:pPr>
            <w:r>
              <w:rPr>
                <w:bCs w:val="0"/>
                <w:color w:val="auto"/>
                <w:spacing w:val="10"/>
                <w:sz w:val="21"/>
                <w:szCs w:val="21"/>
              </w:rPr>
              <w:t>三、</w:t>
            </w:r>
            <w:r>
              <w:rPr>
                <w:bCs w:val="0"/>
                <w:color w:val="auto"/>
                <w:spacing w:val="4"/>
                <w:sz w:val="21"/>
                <w:szCs w:val="21"/>
              </w:rPr>
              <w:t>水污染防治措施</w:t>
            </w:r>
          </w:p>
          <w:p>
            <w:pPr>
              <w:keepNext/>
              <w:keepLines/>
              <w:spacing w:line="360" w:lineRule="auto"/>
              <w:ind w:firstLine="420" w:firstLineChars="200"/>
              <w:outlineLvl w:val="3"/>
              <w:rPr>
                <w:b w:val="0"/>
                <w:bCs w:val="0"/>
                <w:color w:val="auto"/>
                <w:szCs w:val="21"/>
              </w:rPr>
            </w:pPr>
            <w:r>
              <w:rPr>
                <w:b w:val="0"/>
                <w:bCs w:val="0"/>
                <w:color w:val="auto"/>
                <w:szCs w:val="21"/>
              </w:rPr>
              <w:t>1</w:t>
            </w:r>
            <w:r>
              <w:rPr>
                <w:rFonts w:hint="eastAsia"/>
                <w:b w:val="0"/>
                <w:bCs w:val="0"/>
                <w:color w:val="auto"/>
                <w:szCs w:val="21"/>
                <w:lang w:eastAsia="zh-CN"/>
              </w:rPr>
              <w:t>、</w:t>
            </w:r>
            <w:r>
              <w:rPr>
                <w:b w:val="0"/>
                <w:bCs w:val="0"/>
                <w:color w:val="auto"/>
                <w:szCs w:val="21"/>
              </w:rPr>
              <w:t>施工废水污染防治措施</w:t>
            </w:r>
          </w:p>
          <w:p>
            <w:pPr>
              <w:widowControl/>
              <w:spacing w:line="360" w:lineRule="auto"/>
              <w:ind w:firstLine="420" w:firstLineChars="200"/>
              <w:jc w:val="left"/>
              <w:rPr>
                <w:color w:val="auto"/>
                <w:kern w:val="0"/>
                <w:szCs w:val="21"/>
              </w:rPr>
            </w:pPr>
            <w:r>
              <w:rPr>
                <w:color w:val="auto"/>
                <w:kern w:val="0"/>
                <w:szCs w:val="21"/>
              </w:rPr>
              <w:t>（1）工程承包合同中应明确筑路材料（如油料、化学品等）的运输过程中防止洒漏条款，堆放场地不得设在项目沿线河流最高水位线以下，避免筑路材料随雨水冲入水体，造成地表水污染。河流两岸汇水范围内不得堆放或倾倒任何含有害物质的材料或废弃物，也不得取土和临时弃渣。</w:t>
            </w:r>
          </w:p>
          <w:p>
            <w:pPr>
              <w:widowControl/>
              <w:spacing w:line="360" w:lineRule="auto"/>
              <w:ind w:firstLine="420" w:firstLineChars="200"/>
              <w:jc w:val="left"/>
              <w:rPr>
                <w:color w:val="auto"/>
                <w:kern w:val="0"/>
                <w:szCs w:val="21"/>
              </w:rPr>
            </w:pPr>
            <w:r>
              <w:rPr>
                <w:color w:val="auto"/>
                <w:kern w:val="0"/>
                <w:szCs w:val="21"/>
              </w:rPr>
              <w:t>（2）</w:t>
            </w:r>
            <w:r>
              <w:rPr>
                <w:rFonts w:hint="eastAsia"/>
                <w:color w:val="auto"/>
                <w:kern w:val="0"/>
                <w:szCs w:val="21"/>
                <w:lang w:val="en-US" w:eastAsia="zh-CN"/>
              </w:rPr>
              <w:t>由于工程施工期生产废水产生点较为分散，难以集中处理，应在各施工场地修建废水处理设施，建设沉淀池对混凝土养护水处理后回用，生产废水不外排。经处理后的生产废水可作为生产用水进行回用，亦可作为洒水抑尘用水。</w:t>
            </w:r>
          </w:p>
          <w:p>
            <w:pPr>
              <w:keepNext/>
              <w:keepLines/>
              <w:spacing w:line="360" w:lineRule="auto"/>
              <w:ind w:firstLine="420" w:firstLineChars="200"/>
              <w:outlineLvl w:val="3"/>
              <w:rPr>
                <w:b w:val="0"/>
                <w:bCs/>
                <w:color w:val="auto"/>
                <w:szCs w:val="21"/>
              </w:rPr>
            </w:pPr>
            <w:r>
              <w:rPr>
                <w:b w:val="0"/>
                <w:bCs/>
                <w:color w:val="auto"/>
                <w:szCs w:val="21"/>
              </w:rPr>
              <w:t>2</w:t>
            </w:r>
            <w:r>
              <w:rPr>
                <w:rFonts w:hint="eastAsia"/>
                <w:b w:val="0"/>
                <w:bCs/>
                <w:color w:val="auto"/>
                <w:szCs w:val="21"/>
                <w:lang w:eastAsia="zh-CN"/>
              </w:rPr>
              <w:t>、</w:t>
            </w:r>
            <w:r>
              <w:rPr>
                <w:b w:val="0"/>
                <w:bCs/>
                <w:color w:val="auto"/>
                <w:szCs w:val="21"/>
              </w:rPr>
              <w:t>生活污水、垃圾控制措施</w:t>
            </w:r>
          </w:p>
          <w:p>
            <w:pPr>
              <w:widowControl/>
              <w:spacing w:line="360" w:lineRule="auto"/>
              <w:ind w:firstLine="420" w:firstLineChars="200"/>
              <w:jc w:val="left"/>
              <w:rPr>
                <w:color w:val="auto"/>
                <w:kern w:val="0"/>
                <w:szCs w:val="21"/>
              </w:rPr>
            </w:pPr>
            <w:r>
              <w:rPr>
                <w:color w:val="auto"/>
                <w:kern w:val="0"/>
                <w:szCs w:val="21"/>
              </w:rPr>
              <w:t>鉴于施工队伍的流动性和施工人员的分散性和临时性，为防止施工期生活污水排入沿线水体，根据以上情况，对公路沿线施工营地生活污水采用以下措施：</w:t>
            </w:r>
          </w:p>
          <w:p>
            <w:pPr>
              <w:widowControl/>
              <w:spacing w:line="360" w:lineRule="auto"/>
              <w:ind w:firstLine="420" w:firstLineChars="200"/>
              <w:jc w:val="left"/>
              <w:rPr>
                <w:color w:val="auto"/>
                <w:kern w:val="0"/>
                <w:szCs w:val="21"/>
              </w:rPr>
            </w:pPr>
            <w:r>
              <w:rPr>
                <w:color w:val="auto"/>
                <w:kern w:val="0"/>
                <w:szCs w:val="21"/>
              </w:rPr>
              <w:t>（1）</w:t>
            </w:r>
            <w:r>
              <w:rPr>
                <w:rFonts w:hint="eastAsia"/>
                <w:color w:val="auto"/>
                <w:kern w:val="0"/>
                <w:szCs w:val="21"/>
                <w:lang w:eastAsia="zh-CN"/>
              </w:rPr>
              <w:t>粪便</w:t>
            </w:r>
            <w:r>
              <w:rPr>
                <w:color w:val="auto"/>
                <w:kern w:val="0"/>
                <w:szCs w:val="21"/>
              </w:rPr>
              <w:t>生活污水须设置</w:t>
            </w:r>
            <w:r>
              <w:rPr>
                <w:rFonts w:hint="eastAsia"/>
                <w:color w:val="auto"/>
                <w:kern w:val="0"/>
                <w:szCs w:val="21"/>
                <w:lang w:eastAsia="zh-CN"/>
              </w:rPr>
              <w:t>环保厕所</w:t>
            </w:r>
            <w:r>
              <w:rPr>
                <w:color w:val="auto"/>
                <w:kern w:val="0"/>
                <w:szCs w:val="21"/>
              </w:rPr>
              <w:t>，定期清掏</w:t>
            </w:r>
            <w:r>
              <w:rPr>
                <w:rFonts w:hint="eastAsia"/>
                <w:color w:val="auto"/>
                <w:kern w:val="0"/>
                <w:szCs w:val="21"/>
                <w:lang w:eastAsia="zh-CN"/>
              </w:rPr>
              <w:t>，</w:t>
            </w:r>
            <w:r>
              <w:rPr>
                <w:color w:val="auto"/>
                <w:kern w:val="0"/>
                <w:szCs w:val="21"/>
              </w:rPr>
              <w:t>用于田间追肥</w:t>
            </w:r>
            <w:r>
              <w:rPr>
                <w:rFonts w:hint="eastAsia"/>
                <w:color w:val="auto"/>
                <w:kern w:val="0"/>
                <w:szCs w:val="21"/>
                <w:lang w:eastAsia="zh-CN"/>
              </w:rPr>
              <w:t>，不外排；洗漱废水，泼洒降尘或绿化，不外排</w:t>
            </w:r>
            <w:r>
              <w:rPr>
                <w:color w:val="auto"/>
                <w:kern w:val="0"/>
                <w:szCs w:val="21"/>
              </w:rPr>
              <w:t>。</w:t>
            </w:r>
          </w:p>
          <w:p>
            <w:pPr>
              <w:widowControl/>
              <w:spacing w:line="360" w:lineRule="auto"/>
              <w:ind w:firstLine="420" w:firstLineChars="200"/>
              <w:jc w:val="left"/>
              <w:rPr>
                <w:color w:val="auto"/>
                <w:kern w:val="0"/>
                <w:szCs w:val="21"/>
              </w:rPr>
            </w:pPr>
            <w:r>
              <w:rPr>
                <w:color w:val="auto"/>
                <w:kern w:val="0"/>
                <w:szCs w:val="21"/>
              </w:rPr>
              <w:t>（2）施工生活区设置集中垃圾收集点，周围应有防风措施，避免垃圾随风吹入水体，生活垃圾应集中清运，若不能清运则妥善进行填埋，填埋时应避免对地下水或地表水体造成污染。</w:t>
            </w:r>
          </w:p>
          <w:p>
            <w:pPr>
              <w:keepNext/>
              <w:keepLines/>
              <w:spacing w:line="360" w:lineRule="auto"/>
              <w:ind w:firstLine="420" w:firstLineChars="200"/>
              <w:outlineLvl w:val="3"/>
              <w:rPr>
                <w:b w:val="0"/>
                <w:bCs/>
                <w:color w:val="auto"/>
                <w:szCs w:val="21"/>
              </w:rPr>
            </w:pPr>
            <w:r>
              <w:rPr>
                <w:b w:val="0"/>
                <w:bCs/>
                <w:color w:val="auto"/>
                <w:szCs w:val="21"/>
              </w:rPr>
              <w:t>3</w:t>
            </w:r>
            <w:r>
              <w:rPr>
                <w:rFonts w:hint="eastAsia"/>
                <w:b w:val="0"/>
                <w:bCs/>
                <w:color w:val="auto"/>
                <w:szCs w:val="21"/>
                <w:lang w:eastAsia="zh-CN"/>
              </w:rPr>
              <w:t>、</w:t>
            </w:r>
            <w:r>
              <w:rPr>
                <w:rFonts w:hint="eastAsia"/>
                <w:b w:val="0"/>
                <w:bCs/>
                <w:color w:val="auto"/>
                <w:szCs w:val="21"/>
                <w:lang w:val="en-US" w:eastAsia="zh-CN"/>
              </w:rPr>
              <w:t>导流过程污染防治措施</w:t>
            </w:r>
          </w:p>
          <w:p>
            <w:pPr>
              <w:widowControl/>
              <w:spacing w:line="360" w:lineRule="auto"/>
              <w:ind w:firstLine="420" w:firstLineChars="200"/>
              <w:jc w:val="left"/>
              <w:rPr>
                <w:color w:val="auto"/>
                <w:kern w:val="0"/>
                <w:szCs w:val="21"/>
              </w:rPr>
            </w:pPr>
            <w:r>
              <w:rPr>
                <w:rFonts w:hint="eastAsia"/>
                <w:color w:val="auto"/>
                <w:kern w:val="0"/>
                <w:szCs w:val="21"/>
                <w:lang w:val="en-US" w:eastAsia="zh-CN"/>
              </w:rPr>
              <w:t>根据河道具体情况，利用原河道进行导流，新建河道和原河道走向重合部分拟采用明沟排水导流，河水由河床自然下泄，施工完毕后拆除围堰。围堰中如有渗水，采用潜水泵将基坑中的渗水及时抽出，回用于生产和洒水降尘，保证基础正常开挖和基础砌筑顺利进行。</w:t>
            </w:r>
          </w:p>
          <w:p>
            <w:pPr>
              <w:widowControl/>
              <w:spacing w:line="360" w:lineRule="auto"/>
              <w:ind w:firstLine="420" w:firstLineChars="200"/>
              <w:jc w:val="left"/>
              <w:rPr>
                <w:b/>
                <w:color w:val="auto"/>
                <w:szCs w:val="21"/>
              </w:rPr>
            </w:pPr>
            <w:r>
              <w:rPr>
                <w:rFonts w:hint="eastAsia"/>
                <w:color w:val="auto"/>
                <w:kern w:val="0"/>
                <w:szCs w:val="21"/>
                <w:lang w:val="en-US" w:eastAsia="zh-CN"/>
              </w:rPr>
              <w:t>在采取上述措施后，不会对河流水质造成长期连续的影响。</w:t>
            </w:r>
          </w:p>
          <w:p>
            <w:pPr>
              <w:widowControl/>
              <w:spacing w:line="360" w:lineRule="auto"/>
              <w:jc w:val="left"/>
              <w:rPr>
                <w:b/>
                <w:bCs/>
                <w:color w:val="auto"/>
                <w:spacing w:val="10"/>
                <w:szCs w:val="21"/>
              </w:rPr>
            </w:pPr>
            <w:r>
              <w:rPr>
                <w:b/>
                <w:bCs/>
                <w:color w:val="auto"/>
                <w:spacing w:val="10"/>
                <w:szCs w:val="21"/>
              </w:rPr>
              <w:t>四、</w:t>
            </w:r>
            <w:r>
              <w:rPr>
                <w:b/>
                <w:color w:val="auto"/>
                <w:spacing w:val="4"/>
                <w:szCs w:val="21"/>
              </w:rPr>
              <w:t>环境空气保护措施</w:t>
            </w:r>
          </w:p>
          <w:p>
            <w:pPr>
              <w:widowControl/>
              <w:spacing w:line="360" w:lineRule="auto"/>
              <w:ind w:firstLine="420" w:firstLineChars="200"/>
              <w:jc w:val="left"/>
              <w:rPr>
                <w:rFonts w:hint="eastAsia"/>
                <w:color w:val="auto"/>
                <w:kern w:val="0"/>
                <w:szCs w:val="21"/>
                <w:lang w:val="en-US" w:eastAsia="zh-CN"/>
              </w:rPr>
            </w:pPr>
            <w:r>
              <w:rPr>
                <w:rFonts w:hint="eastAsia"/>
                <w:color w:val="auto"/>
                <w:kern w:val="0"/>
                <w:szCs w:val="21"/>
                <w:lang w:val="en-US" w:eastAsia="zh-CN"/>
              </w:rPr>
              <w:t>1、施工扬尘污染防治措施</w:t>
            </w:r>
          </w:p>
          <w:p>
            <w:pPr>
              <w:widowControl/>
              <w:spacing w:line="360" w:lineRule="auto"/>
              <w:ind w:firstLine="420" w:firstLineChars="200"/>
              <w:jc w:val="left"/>
              <w:rPr>
                <w:rFonts w:hint="eastAsia"/>
                <w:color w:val="auto"/>
                <w:kern w:val="0"/>
                <w:szCs w:val="21"/>
                <w:lang w:val="en-US" w:eastAsia="zh-CN"/>
              </w:rPr>
            </w:pPr>
            <w:r>
              <w:rPr>
                <w:rFonts w:hint="eastAsia"/>
                <w:color w:val="auto"/>
                <w:kern w:val="0"/>
                <w:szCs w:val="21"/>
                <w:lang w:val="en-US" w:eastAsia="zh-CN"/>
              </w:rPr>
              <w:t>施工扬尘环境空气影响主要在沿线两侧50m范围内。据现场调查，项目沿线50m范围居民点分布较为密集，本项目工程量较小，施工时间较短，为了进一步降低项目施工对周围环境空气的影响，评价要求在施工时采用围挡施工，对河道及堤防挖方过程中的土石方采取多洒水、覆盖等防尘措施进行防尘，严禁敞开式作业；对出入施工场地车辆进行冲洗、限速行驶及保持路面清洁。根据《大气污染防治行动计划》、《陕西省建筑施工扬尘治理行动方案》、《陕西省建筑施工扬尘治理措施16条》等文件，环评要求企业在施工期应采取大气污染控制措施，具体如下：</w:t>
            </w:r>
          </w:p>
          <w:p>
            <w:pPr>
              <w:widowControl/>
              <w:spacing w:line="360" w:lineRule="auto"/>
              <w:ind w:firstLine="420" w:firstLineChars="200"/>
              <w:jc w:val="left"/>
              <w:rPr>
                <w:rFonts w:hint="eastAsia"/>
                <w:color w:val="auto"/>
                <w:kern w:val="0"/>
                <w:szCs w:val="21"/>
                <w:lang w:val="en-US" w:eastAsia="zh-CN"/>
              </w:rPr>
            </w:pPr>
            <w:r>
              <w:rPr>
                <w:rFonts w:hint="eastAsia"/>
                <w:color w:val="auto"/>
                <w:kern w:val="0"/>
                <w:szCs w:val="21"/>
                <w:lang w:val="en-US" w:eastAsia="zh-CN"/>
              </w:rPr>
              <w:t>（1）建设单位应当组织协调施工、监理等单位成立建筑施工扬尘专项治理领导机构，制定工作方案，明确工作职责，积极做好施工期扬尘污染防治工作。建设单位与施工单位签订的合同，应当明确施工单位的扬尘污染防治责任，并将扬尘污染防治费用列入工程预算并及时足额支付给施工单位。</w:t>
            </w:r>
          </w:p>
          <w:p>
            <w:pPr>
              <w:widowControl/>
              <w:spacing w:line="360" w:lineRule="auto"/>
              <w:ind w:firstLine="420" w:firstLineChars="200"/>
              <w:jc w:val="left"/>
              <w:rPr>
                <w:rFonts w:hint="eastAsia"/>
                <w:color w:val="auto"/>
                <w:kern w:val="0"/>
                <w:szCs w:val="21"/>
                <w:lang w:val="en-US" w:eastAsia="zh-CN"/>
              </w:rPr>
            </w:pPr>
            <w:r>
              <w:rPr>
                <w:rFonts w:hint="eastAsia"/>
                <w:color w:val="auto"/>
                <w:kern w:val="0"/>
                <w:szCs w:val="21"/>
                <w:lang w:val="en-US" w:eastAsia="zh-CN"/>
              </w:rPr>
              <w:t>（2）施工组织设计中，必须制定施工现场扬尘预防治理专项方案，并指定专人负责落实，无专项方案严禁开工。</w:t>
            </w:r>
          </w:p>
          <w:p>
            <w:pPr>
              <w:widowControl/>
              <w:spacing w:line="360" w:lineRule="auto"/>
              <w:ind w:firstLine="420" w:firstLineChars="200"/>
              <w:jc w:val="left"/>
              <w:rPr>
                <w:rFonts w:hint="eastAsia"/>
                <w:color w:val="auto"/>
                <w:kern w:val="0"/>
                <w:szCs w:val="21"/>
                <w:lang w:val="en-US" w:eastAsia="zh-CN"/>
              </w:rPr>
            </w:pPr>
            <w:r>
              <w:rPr>
                <w:rFonts w:hint="eastAsia"/>
                <w:color w:val="auto"/>
                <w:kern w:val="0"/>
                <w:szCs w:val="21"/>
                <w:lang w:val="en-US" w:eastAsia="zh-CN"/>
              </w:rPr>
              <w:t>（3）施工工地工程概况标志牌必须公布扬尘投诉举报电话，举报电话应包括施工企业电话和主管部门电话。</w:t>
            </w:r>
          </w:p>
          <w:p>
            <w:pPr>
              <w:widowControl/>
              <w:spacing w:line="360" w:lineRule="auto"/>
              <w:ind w:firstLine="420" w:firstLineChars="200"/>
              <w:jc w:val="left"/>
              <w:rPr>
                <w:rFonts w:hint="eastAsia"/>
                <w:color w:val="auto"/>
                <w:kern w:val="0"/>
                <w:szCs w:val="21"/>
                <w:lang w:val="en-US" w:eastAsia="zh-CN"/>
              </w:rPr>
            </w:pPr>
            <w:r>
              <w:rPr>
                <w:rFonts w:hint="eastAsia"/>
                <w:color w:val="auto"/>
                <w:kern w:val="0"/>
                <w:szCs w:val="21"/>
                <w:lang w:val="en-US" w:eastAsia="zh-CN"/>
              </w:rPr>
              <w:t>（4）施工场地必须做到“六个百分百”：即施工现场100%围挡、工地砂土100%覆盖、工地路面100%硬化、拆除工程100%湿法作业、出工地车辆100%冲净车轮车身、渣土拉运车辆100%密闭。施工现场应全封闭设置围挡墙，严禁敞开式作业；施工现场集中堆放的土方必须覆盖，严禁裸露；施工现场的水泥及其它易产生粉尘类建筑材料必须密闭存放或覆盖，严禁露天放置；施工现场运送土方、渣土、建筑垃圾的车辆必须封闭或遮盖，严禁沿路遗漏或抛撒；施工现场出入口必须配备车辆冲洗设施，严禁车辆带泥出场；施工现场配备洒水车辆，建立洒水清扫制度或雾化降尘措施，并有专人负责。</w:t>
            </w:r>
          </w:p>
          <w:p>
            <w:pPr>
              <w:widowControl/>
              <w:spacing w:line="360" w:lineRule="auto"/>
              <w:ind w:firstLine="420" w:firstLineChars="200"/>
              <w:jc w:val="left"/>
              <w:rPr>
                <w:rFonts w:hint="eastAsia"/>
                <w:color w:val="auto"/>
                <w:kern w:val="0"/>
                <w:szCs w:val="21"/>
                <w:lang w:val="en-US" w:eastAsia="zh-CN"/>
              </w:rPr>
            </w:pPr>
            <w:r>
              <w:rPr>
                <w:rFonts w:hint="eastAsia"/>
                <w:color w:val="auto"/>
                <w:kern w:val="0"/>
                <w:szCs w:val="21"/>
                <w:lang w:val="en-US" w:eastAsia="zh-CN"/>
              </w:rPr>
              <w:t>（5）施工现场必须设置固定垃圾存放点，垃圾应分类集中堆放并覆盖，及时清运，严禁焚烧、填埋和随意丢弃。尽管工程在建设阶段会对建设地及其周围空气质量造成一定影响，但只要文明施工，施工现场及时清扫经常洒水、运输车辆加盖蓬布低速行驶、遇到大风日停止施工等措施可有效减少粉尘扬尘产生，可以减少施工对环境空气影响，且其影响随施工过程的结束而结束，其影响程度有限。</w:t>
            </w:r>
          </w:p>
          <w:p>
            <w:pPr>
              <w:widowControl/>
              <w:spacing w:line="360" w:lineRule="auto"/>
              <w:ind w:firstLine="420" w:firstLineChars="200"/>
              <w:jc w:val="left"/>
              <w:rPr>
                <w:rFonts w:hint="eastAsia"/>
                <w:color w:val="auto"/>
                <w:kern w:val="0"/>
                <w:szCs w:val="21"/>
                <w:lang w:val="en-US" w:eastAsia="zh-CN"/>
              </w:rPr>
            </w:pPr>
            <w:r>
              <w:rPr>
                <w:rFonts w:hint="eastAsia"/>
                <w:color w:val="auto"/>
                <w:kern w:val="0"/>
                <w:szCs w:val="21"/>
                <w:lang w:val="en-US" w:eastAsia="zh-CN"/>
              </w:rPr>
              <w:t>2、拆除扬尘</w:t>
            </w:r>
          </w:p>
          <w:p>
            <w:pPr>
              <w:widowControl/>
              <w:spacing w:line="360" w:lineRule="auto"/>
              <w:ind w:firstLine="420" w:firstLineChars="200"/>
              <w:jc w:val="left"/>
              <w:rPr>
                <w:rFonts w:hint="eastAsia"/>
                <w:color w:val="auto"/>
                <w:kern w:val="0"/>
                <w:szCs w:val="21"/>
                <w:lang w:val="en-US" w:eastAsia="zh-CN"/>
              </w:rPr>
            </w:pPr>
            <w:r>
              <w:rPr>
                <w:rFonts w:hint="eastAsia"/>
                <w:color w:val="auto"/>
                <w:kern w:val="0"/>
                <w:szCs w:val="21"/>
                <w:lang w:val="en-US" w:eastAsia="zh-CN"/>
              </w:rPr>
              <w:t>（1）原堤防拆除前要进行洒水喷淋，控制灰尘飞扬，拆除物禁止大面积推倒严禁野蛮施工作业，拆除工地必须保持区域环境整洁。遇有四级以上大风天气，要停止作业。</w:t>
            </w:r>
          </w:p>
          <w:p>
            <w:pPr>
              <w:widowControl/>
              <w:spacing w:line="360" w:lineRule="auto"/>
              <w:ind w:firstLine="420" w:firstLineChars="200"/>
              <w:jc w:val="left"/>
              <w:rPr>
                <w:rFonts w:hint="eastAsia"/>
                <w:color w:val="auto"/>
                <w:kern w:val="0"/>
                <w:szCs w:val="21"/>
                <w:lang w:val="en-US" w:eastAsia="zh-CN"/>
              </w:rPr>
            </w:pPr>
            <w:r>
              <w:rPr>
                <w:rFonts w:hint="eastAsia"/>
                <w:color w:val="auto"/>
                <w:kern w:val="0"/>
                <w:szCs w:val="21"/>
                <w:lang w:val="en-US" w:eastAsia="zh-CN"/>
              </w:rPr>
              <w:t>（2）清运杂土必须使用封闭车，现场要有专人负责管理，渣土清运时，应当按照批准的路线和时间到指定的地点倾倒。采取以上措施后，拆除扬尘对周围敏感点影响较小。</w:t>
            </w:r>
          </w:p>
          <w:p>
            <w:pPr>
              <w:widowControl/>
              <w:spacing w:line="360" w:lineRule="auto"/>
              <w:ind w:firstLine="420" w:firstLineChars="200"/>
              <w:jc w:val="left"/>
              <w:rPr>
                <w:rFonts w:hint="eastAsia"/>
                <w:color w:val="auto"/>
                <w:kern w:val="0"/>
                <w:szCs w:val="21"/>
                <w:lang w:val="en-US" w:eastAsia="zh-CN"/>
              </w:rPr>
            </w:pPr>
            <w:r>
              <w:rPr>
                <w:rFonts w:hint="eastAsia"/>
                <w:color w:val="auto"/>
                <w:kern w:val="0"/>
                <w:szCs w:val="21"/>
                <w:lang w:val="en-US" w:eastAsia="zh-CN"/>
              </w:rPr>
              <w:t>3、施工机械与车辆尾气</w:t>
            </w:r>
          </w:p>
          <w:p>
            <w:pPr>
              <w:widowControl/>
              <w:spacing w:line="360" w:lineRule="auto"/>
              <w:ind w:firstLine="420" w:firstLineChars="200"/>
              <w:jc w:val="left"/>
              <w:rPr>
                <w:color w:val="auto"/>
              </w:rPr>
            </w:pPr>
            <w:r>
              <w:rPr>
                <w:rFonts w:hint="eastAsia"/>
                <w:color w:val="auto"/>
                <w:kern w:val="0"/>
                <w:szCs w:val="21"/>
                <w:lang w:val="en-US" w:eastAsia="zh-CN"/>
              </w:rPr>
              <w:t>评价提出对施工车辆的尾气排放做定期检查，要求尽量采用环保清洁燃料，对于严重超标车辆加装尾气催化净化装置，确保施工车辆尾气达到《非道路移动机械用柴油机排气污染物排放限值及测量方法》（GB20891-2014）标准限值。</w:t>
            </w:r>
          </w:p>
          <w:p>
            <w:pPr>
              <w:pStyle w:val="5"/>
              <w:spacing w:before="0" w:after="0" w:line="360" w:lineRule="auto"/>
              <w:rPr>
                <w:bCs w:val="0"/>
                <w:color w:val="auto"/>
                <w:spacing w:val="4"/>
                <w:sz w:val="21"/>
                <w:szCs w:val="21"/>
              </w:rPr>
            </w:pPr>
            <w:r>
              <w:rPr>
                <w:bCs w:val="0"/>
                <w:color w:val="auto"/>
                <w:spacing w:val="4"/>
                <w:sz w:val="21"/>
                <w:szCs w:val="21"/>
              </w:rPr>
              <w:t>五、固废污染防治措施</w:t>
            </w:r>
          </w:p>
          <w:p>
            <w:pPr>
              <w:widowControl/>
              <w:spacing w:line="360" w:lineRule="auto"/>
              <w:ind w:firstLine="420" w:firstLineChars="200"/>
              <w:jc w:val="left"/>
              <w:rPr>
                <w:rFonts w:hint="eastAsia"/>
                <w:color w:val="auto"/>
                <w:kern w:val="0"/>
                <w:szCs w:val="21"/>
                <w:lang w:val="en-US" w:eastAsia="zh-CN"/>
              </w:rPr>
            </w:pPr>
            <w:r>
              <w:rPr>
                <w:rFonts w:hint="eastAsia"/>
                <w:color w:val="auto"/>
                <w:kern w:val="0"/>
                <w:szCs w:val="21"/>
                <w:lang w:val="en-US" w:eastAsia="zh-CN"/>
              </w:rPr>
              <w:t>1、建筑垃圾</w:t>
            </w:r>
          </w:p>
          <w:p>
            <w:pPr>
              <w:widowControl/>
              <w:spacing w:line="360" w:lineRule="auto"/>
              <w:ind w:firstLine="420" w:firstLineChars="200"/>
              <w:jc w:val="left"/>
              <w:rPr>
                <w:rFonts w:hint="eastAsia"/>
                <w:color w:val="auto"/>
                <w:kern w:val="0"/>
                <w:szCs w:val="21"/>
                <w:lang w:val="en-US" w:eastAsia="zh-CN"/>
              </w:rPr>
            </w:pPr>
            <w:r>
              <w:rPr>
                <w:rFonts w:hint="eastAsia"/>
                <w:color w:val="auto"/>
                <w:kern w:val="0"/>
                <w:szCs w:val="21"/>
                <w:lang w:val="en-US" w:eastAsia="zh-CN"/>
              </w:rPr>
              <w:t>拆旧产生的建筑垃圾、项目施工过程产生的少量废建材，建筑垃圾产生量能够回收利用的，如钢筋等回收利用，不可回收利用的运往环卫部门指定建筑垃圾填埋场进行处理。</w:t>
            </w:r>
          </w:p>
          <w:p>
            <w:pPr>
              <w:widowControl/>
              <w:spacing w:line="360" w:lineRule="auto"/>
              <w:ind w:firstLine="420" w:firstLineChars="200"/>
              <w:jc w:val="left"/>
              <w:rPr>
                <w:rFonts w:hint="eastAsia"/>
                <w:color w:val="auto"/>
                <w:kern w:val="0"/>
                <w:szCs w:val="21"/>
                <w:lang w:val="en-US" w:eastAsia="zh-CN"/>
              </w:rPr>
            </w:pPr>
            <w:r>
              <w:rPr>
                <w:rFonts w:hint="eastAsia"/>
                <w:color w:val="auto"/>
                <w:kern w:val="0"/>
                <w:szCs w:val="21"/>
                <w:lang w:val="en-US" w:eastAsia="zh-CN"/>
              </w:rPr>
              <w:t>2、生活垃圾</w:t>
            </w:r>
          </w:p>
          <w:p>
            <w:pPr>
              <w:widowControl/>
              <w:spacing w:line="360" w:lineRule="auto"/>
              <w:ind w:firstLine="420" w:firstLineChars="200"/>
              <w:jc w:val="left"/>
              <w:rPr>
                <w:rFonts w:hint="eastAsia"/>
                <w:color w:val="auto"/>
                <w:kern w:val="0"/>
                <w:szCs w:val="21"/>
                <w:lang w:val="en-US" w:eastAsia="zh-CN"/>
              </w:rPr>
            </w:pPr>
            <w:r>
              <w:rPr>
                <w:rFonts w:hint="eastAsia"/>
                <w:color w:val="auto"/>
                <w:kern w:val="0"/>
                <w:szCs w:val="21"/>
                <w:lang w:val="en-US" w:eastAsia="zh-CN"/>
              </w:rPr>
              <w:t>生活垃圾分类收集后，送到最近垃圾收集点，由环卫部门定期清运。</w:t>
            </w:r>
          </w:p>
          <w:p>
            <w:pPr>
              <w:pStyle w:val="4"/>
              <w:spacing w:before="0" w:after="0" w:line="360" w:lineRule="auto"/>
              <w:rPr>
                <w:rFonts w:ascii="Times New Roman" w:hAnsi="Times New Roman" w:eastAsiaTheme="minorEastAsia"/>
                <w:color w:val="auto"/>
                <w:sz w:val="21"/>
                <w:szCs w:val="21"/>
              </w:rPr>
            </w:pPr>
            <w:r>
              <w:rPr>
                <w:rFonts w:ascii="Times New Roman" w:hAnsi="Times New Roman" w:eastAsiaTheme="minorEastAsia"/>
                <w:bCs w:val="0"/>
                <w:color w:val="auto"/>
                <w:spacing w:val="10"/>
                <w:sz w:val="21"/>
                <w:szCs w:val="21"/>
              </w:rPr>
              <w:t>六、</w:t>
            </w:r>
            <w:r>
              <w:rPr>
                <w:rFonts w:ascii="Times New Roman" w:hAnsi="Times New Roman" w:eastAsiaTheme="minorEastAsia"/>
                <w:color w:val="auto"/>
                <w:sz w:val="21"/>
                <w:szCs w:val="21"/>
              </w:rPr>
              <w:t>湿地保护措施</w:t>
            </w:r>
          </w:p>
          <w:p>
            <w:pPr>
              <w:pStyle w:val="52"/>
              <w:spacing w:beforeLines="0"/>
              <w:ind w:firstLine="42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（1）严格按照《陕西省湿地保护管理条例》等相关法律法规，严格遵循“保护优先、科学规划、合理利用、持续发展”的湿地保护原则，最大限度地减少项目对湿地的侵占和破坏。</w:t>
            </w:r>
          </w:p>
          <w:p>
            <w:pPr>
              <w:pStyle w:val="52"/>
              <w:spacing w:beforeLines="0"/>
              <w:ind w:firstLine="42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val="en-US" w:eastAsia="zh-CN"/>
              </w:rPr>
              <w:t>2</w:t>
            </w:r>
            <w:r>
              <w:rPr>
                <w:rFonts w:ascii="Times New Roman" w:hAnsi="Times New Roman" w:cs="Times New Roman" w:eastAsiaTheme="minorEastAsia"/>
                <w:color w:val="auto"/>
                <w:sz w:val="21"/>
                <w:szCs w:val="21"/>
              </w:rPr>
              <w:t>）为避免在湿地范围内乱弃或任意扰动、破坏湿地环境及河道边坡植被，施工单位应该严格按照水土保持方案及环评文件及批复或施工设计规定的位置及限定的范围</w:t>
            </w:r>
            <w:r>
              <w:rPr>
                <w:rFonts w:hint="eastAsia" w:ascii="Times New Roman" w:hAnsi="Times New Roman" w:cs="Times New Roman" w:eastAsiaTheme="minorEastAsia"/>
                <w:color w:val="auto"/>
                <w:sz w:val="21"/>
                <w:szCs w:val="21"/>
                <w:lang w:val="en-US" w:eastAsia="zh-CN"/>
              </w:rPr>
              <w:t>内施工</w:t>
            </w:r>
            <w:r>
              <w:rPr>
                <w:rFonts w:ascii="Times New Roman" w:hAnsi="Times New Roman" w:cs="Times New Roman" w:eastAsiaTheme="minorEastAsia"/>
                <w:color w:val="auto"/>
                <w:sz w:val="21"/>
                <w:szCs w:val="21"/>
              </w:rPr>
              <w:t>，若确需改变，施工单位应报请建设单位工程指挥部，由工程指挥部会同当地政府部门、设计、监理等单位，根据湿地环境保护要求，履行变更程序。不得在河道范围内弃渣。</w:t>
            </w:r>
          </w:p>
          <w:p>
            <w:pPr>
              <w:pStyle w:val="52"/>
              <w:spacing w:beforeLines="0"/>
              <w:ind w:firstLine="42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val="en-US" w:eastAsia="zh-CN"/>
              </w:rPr>
              <w:t>3</w:t>
            </w:r>
            <w:r>
              <w:rPr>
                <w:rFonts w:ascii="Times New Roman" w:hAnsi="Times New Roman" w:cs="Times New Roman" w:eastAsiaTheme="minorEastAsia"/>
                <w:color w:val="auto"/>
                <w:sz w:val="21"/>
                <w:szCs w:val="21"/>
              </w:rPr>
              <w:t>）加强施工队伍的管理，加强施工人员的环保教育，</w:t>
            </w:r>
            <w:r>
              <w:rPr>
                <w:rFonts w:hint="eastAsia" w:ascii="Times New Roman" w:hAnsi="Times New Roman" w:cs="Times New Roman" w:eastAsiaTheme="minorEastAsia"/>
                <w:color w:val="auto"/>
                <w:sz w:val="21"/>
                <w:szCs w:val="21"/>
                <w:lang w:val="en-US" w:eastAsia="zh-CN"/>
              </w:rPr>
              <w:t>增强施工人员环保意识，</w:t>
            </w:r>
            <w:r>
              <w:rPr>
                <w:rFonts w:ascii="Times New Roman" w:hAnsi="Times New Roman" w:cs="Times New Roman" w:eastAsiaTheme="minorEastAsia"/>
                <w:color w:val="auto"/>
                <w:sz w:val="21"/>
                <w:szCs w:val="21"/>
              </w:rPr>
              <w:t>开工前在</w:t>
            </w:r>
            <w:r>
              <w:rPr>
                <w:rFonts w:hint="eastAsia" w:ascii="Times New Roman" w:hAnsi="Times New Roman" w:cs="Times New Roman" w:eastAsiaTheme="minorEastAsia"/>
                <w:color w:val="auto"/>
                <w:sz w:val="21"/>
                <w:szCs w:val="21"/>
                <w:lang w:val="en-US" w:eastAsia="zh-CN"/>
              </w:rPr>
              <w:t>安康岚河</w:t>
            </w:r>
            <w:r>
              <w:rPr>
                <w:rFonts w:ascii="Times New Roman" w:hAnsi="Times New Roman" w:cs="Times New Roman" w:eastAsiaTheme="minorEastAsia"/>
                <w:color w:val="auto"/>
                <w:sz w:val="21"/>
                <w:szCs w:val="21"/>
              </w:rPr>
              <w:t>湿地设立湿地保护宣传牌，注意对湿地水生生态的保护。</w:t>
            </w:r>
          </w:p>
          <w:p>
            <w:pPr>
              <w:pStyle w:val="52"/>
              <w:spacing w:beforeLines="0"/>
              <w:ind w:firstLine="420"/>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color w:val="auto"/>
                <w:sz w:val="21"/>
                <w:szCs w:val="21"/>
                <w:lang w:val="en-US" w:eastAsia="zh-CN"/>
              </w:rPr>
              <w:t>4</w:t>
            </w:r>
            <w:r>
              <w:rPr>
                <w:rFonts w:hint="eastAsia" w:ascii="Times New Roman" w:hAnsi="Times New Roman" w:cs="Times New Roman" w:eastAsiaTheme="minorEastAsia"/>
                <w:color w:val="auto"/>
                <w:sz w:val="21"/>
                <w:szCs w:val="21"/>
                <w:lang w:eastAsia="zh-CN"/>
              </w:rPr>
              <w:t>）</w:t>
            </w:r>
            <w:r>
              <w:rPr>
                <w:rFonts w:ascii="Times New Roman" w:hAnsi="Times New Roman" w:cs="Times New Roman" w:eastAsiaTheme="minorEastAsia"/>
                <w:color w:val="auto"/>
                <w:sz w:val="21"/>
                <w:szCs w:val="21"/>
              </w:rPr>
              <w:t>严禁施工人员下河捕捞鱼类，伤害水生野生动物，以保证湿地生物资源平衡、稳定。</w:t>
            </w:r>
          </w:p>
          <w:p>
            <w:pPr>
              <w:pStyle w:val="52"/>
              <w:spacing w:beforeLines="0"/>
              <w:ind w:firstLine="420"/>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（2）合理组织施工生产，合理安排高噪声机械施工时间。禁止安排在夜间作业，以免惊扰鸟类等动物栖息、觅食等活动。</w:t>
            </w:r>
          </w:p>
          <w:p>
            <w:pPr>
              <w:pStyle w:val="52"/>
              <w:spacing w:beforeLines="0"/>
              <w:ind w:firstLine="42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（6）严禁在秃尾河湿地范围内设置施工营地、拌合站、预制场等大临工程。在施工过程中，应严格按照规划界限施工建设。</w:t>
            </w:r>
          </w:p>
          <w:p>
            <w:pPr>
              <w:pStyle w:val="52"/>
              <w:spacing w:beforeLines="0"/>
              <w:ind w:firstLine="420"/>
              <w:rPr>
                <w:rFonts w:hint="eastAsia" w:ascii="Times New Roman" w:hAnsi="Times New Roman" w:cs="Times New Roman" w:eastAsiaTheme="minorEastAsia"/>
                <w:color w:val="auto"/>
                <w:sz w:val="21"/>
                <w:szCs w:val="21"/>
                <w:lang w:val="en-US" w:eastAsia="zh-CN"/>
              </w:rPr>
            </w:pPr>
            <w:r>
              <w:rPr>
                <w:rFonts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rPr>
              <w:t>7</w:t>
            </w:r>
            <w:r>
              <w:rPr>
                <w:rFonts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rPr>
              <w:t>湿地沿线</w:t>
            </w:r>
            <w:r>
              <w:rPr>
                <w:rFonts w:ascii="Times New Roman" w:hAnsi="Times New Roman" w:cs="Times New Roman" w:eastAsiaTheme="minorEastAsia"/>
                <w:color w:val="auto"/>
                <w:sz w:val="21"/>
                <w:szCs w:val="21"/>
              </w:rPr>
              <w:t>施工废水、生活污水应及时收集并采取无害化处理措施，避免流入河道，污</w:t>
            </w:r>
            <w:r>
              <w:rPr>
                <w:rFonts w:hint="eastAsia" w:ascii="Times New Roman" w:hAnsi="Times New Roman" w:cs="Times New Roman" w:eastAsiaTheme="minorEastAsia"/>
                <w:color w:val="auto"/>
                <w:sz w:val="21"/>
                <w:szCs w:val="21"/>
                <w:lang w:val="en-US" w:eastAsia="zh-CN"/>
              </w:rPr>
              <w:t>染水体，影响湿地生态。</w:t>
            </w:r>
          </w:p>
          <w:p>
            <w:pPr>
              <w:pStyle w:val="52"/>
              <w:spacing w:beforeLines="0"/>
              <w:ind w:firstLine="420"/>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（8）保护水环境，进行固体废物处理：施工中产生的废渣、弃土应尽量做到回用，禁止在河道内堆放；生活垃圾应进行收集、集中清运填埋，防止污染水体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753" w:type="dxa"/>
            <w:tcMar>
              <w:left w:w="28" w:type="dxa"/>
              <w:right w:w="28" w:type="dxa"/>
            </w:tcMar>
            <w:vAlign w:val="center"/>
          </w:tcPr>
          <w:p>
            <w:pPr>
              <w:adjustRightInd w:val="0"/>
              <w:snapToGrid w:val="0"/>
              <w:jc w:val="center"/>
              <w:rPr>
                <w:bCs/>
                <w:color w:val="auto"/>
                <w:spacing w:val="10"/>
                <w:szCs w:val="21"/>
              </w:rPr>
            </w:pPr>
            <w:r>
              <w:rPr>
                <w:bCs/>
                <w:color w:val="auto"/>
                <w:spacing w:val="10"/>
                <w:szCs w:val="21"/>
              </w:rPr>
              <w:t>运营期生态环境保护措施</w:t>
            </w:r>
          </w:p>
        </w:tc>
        <w:tc>
          <w:tcPr>
            <w:tcW w:w="8457" w:type="dxa"/>
            <w:vAlign w:val="center"/>
          </w:tcPr>
          <w:p>
            <w:pPr>
              <w:pStyle w:val="52"/>
              <w:spacing w:beforeLines="0"/>
              <w:ind w:firstLine="420"/>
              <w:jc w:val="left"/>
              <w:rPr>
                <w:color w:val="auto"/>
                <w:sz w:val="21"/>
                <w:szCs w:val="21"/>
              </w:rPr>
            </w:pPr>
            <w:r>
              <w:rPr>
                <w:rFonts w:hint="eastAsia"/>
                <w:color w:val="auto"/>
                <w:sz w:val="21"/>
                <w:szCs w:val="21"/>
                <w:lang w:val="en-US" w:eastAsia="zh-CN"/>
              </w:rPr>
              <w:t>本项目工程运行期间不产生废气、废水、固废及噪声影响。需对临时占地进行绿化恢复，并对其进行养护，确保成活率。</w:t>
            </w:r>
          </w:p>
          <w:p>
            <w:pPr>
              <w:pStyle w:val="52"/>
              <w:spacing w:beforeLines="0"/>
              <w:ind w:firstLine="420"/>
              <w:jc w:val="left"/>
              <w:rPr>
                <w:color w:val="auto"/>
              </w:rPr>
            </w:pPr>
            <w:r>
              <w:rPr>
                <w:rFonts w:hint="eastAsia"/>
                <w:color w:val="auto"/>
                <w:sz w:val="21"/>
                <w:szCs w:val="21"/>
                <w:lang w:val="en-US" w:eastAsia="zh-CN"/>
              </w:rPr>
              <w:t>项目建成后，有利于提高岚河及大盘河河流域防洪能力，减少水土流失，不会对环境产生不利影响。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753" w:type="dxa"/>
            <w:vAlign w:val="center"/>
          </w:tcPr>
          <w:p>
            <w:pPr>
              <w:adjustRightInd w:val="0"/>
              <w:snapToGrid w:val="0"/>
              <w:jc w:val="center"/>
              <w:rPr>
                <w:bCs/>
                <w:color w:val="auto"/>
                <w:spacing w:val="10"/>
                <w:szCs w:val="21"/>
              </w:rPr>
            </w:pPr>
            <w:r>
              <w:rPr>
                <w:bCs/>
                <w:color w:val="auto"/>
                <w:szCs w:val="21"/>
              </w:rPr>
              <w:t>其他</w:t>
            </w:r>
          </w:p>
        </w:tc>
        <w:tc>
          <w:tcPr>
            <w:tcW w:w="8457" w:type="dxa"/>
          </w:tcPr>
          <w:p>
            <w:pPr>
              <w:spacing w:line="360" w:lineRule="auto"/>
              <w:rPr>
                <w:rFonts w:hint="eastAsia"/>
                <w:color w:val="auto"/>
                <w:sz w:val="21"/>
                <w:szCs w:val="21"/>
                <w:lang w:val="en-US" w:eastAsia="zh-CN"/>
              </w:rPr>
            </w:pPr>
            <w:r>
              <w:rPr>
                <w:rFonts w:hint="eastAsia"/>
                <w:color w:val="auto"/>
                <w:sz w:val="21"/>
                <w:szCs w:val="21"/>
                <w:lang w:val="en-US" w:eastAsia="zh-CN"/>
              </w:rPr>
              <w:t>一、环境管理</w:t>
            </w:r>
          </w:p>
          <w:p>
            <w:pPr>
              <w:spacing w:line="360" w:lineRule="auto"/>
              <w:ind w:firstLine="480"/>
              <w:rPr>
                <w:rFonts w:hint="eastAsia"/>
                <w:color w:val="auto"/>
                <w:sz w:val="21"/>
                <w:szCs w:val="21"/>
                <w:lang w:val="en-US" w:eastAsia="zh-CN"/>
              </w:rPr>
            </w:pPr>
            <w:r>
              <w:rPr>
                <w:rFonts w:hint="eastAsia"/>
                <w:color w:val="auto"/>
                <w:sz w:val="21"/>
                <w:szCs w:val="21"/>
                <w:lang w:val="en-US" w:eastAsia="zh-CN"/>
              </w:rPr>
              <w:t>本工程为防洪工程，运营期无污染物排放，环境影响很小，环境管理工作主要为施工期环境管理工作。为了有效地保护本项目所在地的环境质量，减轻本项目施工期外排污染物对周围环境质量的影响，在施工期间，建设单位应建立和健全环境管理和监控制度。</w:t>
            </w:r>
          </w:p>
          <w:p>
            <w:pPr>
              <w:spacing w:line="360" w:lineRule="auto"/>
              <w:ind w:firstLine="480"/>
              <w:rPr>
                <w:rFonts w:hint="eastAsia"/>
                <w:color w:val="auto"/>
                <w:sz w:val="21"/>
                <w:szCs w:val="21"/>
                <w:lang w:val="en-US" w:eastAsia="zh-CN"/>
              </w:rPr>
            </w:pPr>
            <w:r>
              <w:rPr>
                <w:rFonts w:hint="eastAsia"/>
                <w:color w:val="auto"/>
                <w:sz w:val="21"/>
                <w:szCs w:val="21"/>
                <w:lang w:val="en-US" w:eastAsia="zh-CN"/>
              </w:rPr>
              <w:t>（1）建设单位应会同施工单位组成施工期环境管理临时机构，加强对施工过程的环境管理、环境监测与监督控制工作。</w:t>
            </w:r>
          </w:p>
          <w:p>
            <w:pPr>
              <w:spacing w:line="360" w:lineRule="auto"/>
              <w:ind w:firstLine="480"/>
              <w:rPr>
                <w:rFonts w:hint="eastAsia"/>
                <w:color w:val="auto"/>
                <w:sz w:val="21"/>
                <w:szCs w:val="21"/>
                <w:lang w:val="en-US" w:eastAsia="zh-CN"/>
              </w:rPr>
            </w:pPr>
            <w:r>
              <w:rPr>
                <w:rFonts w:hint="eastAsia"/>
                <w:color w:val="auto"/>
                <w:sz w:val="21"/>
                <w:szCs w:val="21"/>
                <w:lang w:val="en-US" w:eastAsia="zh-CN"/>
              </w:rPr>
              <w:t>（2）制定科学合理的施工计划。采用集中力量、逐段施工的方法，减少施工现场的作业面、缩短施工周期，减轻建筑施工对局部环境的影响。</w:t>
            </w:r>
          </w:p>
          <w:p>
            <w:pPr>
              <w:spacing w:line="360" w:lineRule="auto"/>
              <w:ind w:firstLine="480"/>
              <w:rPr>
                <w:rFonts w:hint="eastAsia"/>
                <w:color w:val="auto"/>
                <w:sz w:val="21"/>
                <w:szCs w:val="21"/>
                <w:lang w:val="en-US" w:eastAsia="zh-CN"/>
              </w:rPr>
            </w:pPr>
            <w:r>
              <w:rPr>
                <w:rFonts w:hint="eastAsia"/>
                <w:color w:val="auto"/>
                <w:sz w:val="21"/>
                <w:szCs w:val="21"/>
                <w:lang w:val="en-US" w:eastAsia="zh-CN"/>
              </w:rPr>
              <w:t>（3）按照本报告表提出的污染防治措施，对施工噪声和施工扬尘进行污染控制。</w:t>
            </w:r>
          </w:p>
          <w:p>
            <w:pPr>
              <w:spacing w:line="360" w:lineRule="auto"/>
              <w:ind w:firstLine="480"/>
              <w:rPr>
                <w:rFonts w:hint="eastAsia"/>
                <w:color w:val="auto"/>
                <w:sz w:val="21"/>
                <w:szCs w:val="21"/>
                <w:lang w:val="en-US" w:eastAsia="zh-CN"/>
              </w:rPr>
            </w:pPr>
            <w:r>
              <w:rPr>
                <w:rFonts w:hint="eastAsia"/>
                <w:color w:val="auto"/>
                <w:sz w:val="21"/>
                <w:szCs w:val="21"/>
                <w:lang w:val="en-US" w:eastAsia="zh-CN"/>
              </w:rPr>
              <w:t>（4）在施工地段设置监控点，对建筑施工场界噪声和施工扬尘进行监测，及时掌握施工过程的污染排放状况，采取进一步污染控制措施。</w:t>
            </w:r>
          </w:p>
          <w:p>
            <w:pPr>
              <w:spacing w:line="360" w:lineRule="auto"/>
              <w:ind w:firstLine="480"/>
              <w:rPr>
                <w:rFonts w:hint="eastAsia"/>
                <w:color w:val="auto"/>
                <w:sz w:val="21"/>
                <w:szCs w:val="21"/>
                <w:lang w:val="en-US" w:eastAsia="zh-CN"/>
              </w:rPr>
            </w:pPr>
            <w:r>
              <w:rPr>
                <w:rFonts w:hint="eastAsia"/>
                <w:color w:val="auto"/>
                <w:sz w:val="21"/>
                <w:szCs w:val="21"/>
                <w:lang w:val="en-US" w:eastAsia="zh-CN"/>
              </w:rPr>
              <w:t>（5）及时清理施工现场的弃土、弃渣，减少水土流失，防止二次污染。</w:t>
            </w:r>
          </w:p>
          <w:p>
            <w:pPr>
              <w:spacing w:line="360" w:lineRule="auto"/>
              <w:ind w:firstLine="480"/>
              <w:rPr>
                <w:rFonts w:hint="eastAsia"/>
                <w:color w:val="auto"/>
                <w:sz w:val="21"/>
                <w:szCs w:val="21"/>
                <w:lang w:val="en-US" w:eastAsia="zh-CN"/>
              </w:rPr>
            </w:pPr>
            <w:r>
              <w:rPr>
                <w:rFonts w:hint="eastAsia"/>
                <w:color w:val="auto"/>
                <w:sz w:val="21"/>
                <w:szCs w:val="21"/>
                <w:lang w:val="en-US" w:eastAsia="zh-CN"/>
              </w:rPr>
              <w:t>（6）制定施工过程的环境保护制度，同时制定出具体的实施计划和要求，做到专人负责，有章可循，以便于进行监督、检查、落实施工期的各项污染防治措施，保护施工场地及其周围的生态环境。</w:t>
            </w:r>
          </w:p>
          <w:p>
            <w:pPr>
              <w:spacing w:line="360" w:lineRule="auto"/>
              <w:rPr>
                <w:rFonts w:hint="default"/>
                <w:color w:val="auto"/>
                <w:sz w:val="21"/>
                <w:szCs w:val="21"/>
                <w:lang w:val="en-US" w:eastAsia="zh-CN"/>
              </w:rPr>
            </w:pPr>
            <w:r>
              <w:rPr>
                <w:rFonts w:hint="eastAsia"/>
                <w:color w:val="auto"/>
                <w:sz w:val="21"/>
                <w:szCs w:val="21"/>
                <w:lang w:val="en-US" w:eastAsia="zh-CN"/>
              </w:rPr>
              <w:t>二、环境监测</w:t>
            </w:r>
          </w:p>
          <w:p>
            <w:pPr>
              <w:spacing w:line="360" w:lineRule="auto"/>
              <w:ind w:firstLine="480"/>
              <w:rPr>
                <w:rFonts w:hint="eastAsia"/>
                <w:color w:val="auto"/>
                <w:sz w:val="21"/>
                <w:szCs w:val="21"/>
                <w:lang w:val="en-US" w:eastAsia="zh-CN"/>
              </w:rPr>
            </w:pPr>
            <w:r>
              <w:rPr>
                <w:rFonts w:hint="eastAsia"/>
                <w:color w:val="auto"/>
                <w:sz w:val="21"/>
                <w:szCs w:val="21"/>
                <w:lang w:val="en-US" w:eastAsia="zh-CN"/>
              </w:rPr>
              <w:t>1、环境监测目的</w:t>
            </w:r>
          </w:p>
          <w:p>
            <w:pPr>
              <w:spacing w:line="360" w:lineRule="auto"/>
              <w:ind w:firstLine="480"/>
              <w:rPr>
                <w:rFonts w:hint="eastAsia"/>
                <w:color w:val="auto"/>
                <w:sz w:val="21"/>
                <w:szCs w:val="21"/>
                <w:lang w:val="en-US" w:eastAsia="zh-CN"/>
              </w:rPr>
            </w:pPr>
            <w:r>
              <w:rPr>
                <w:rFonts w:hint="eastAsia"/>
                <w:color w:val="auto"/>
                <w:sz w:val="21"/>
                <w:szCs w:val="21"/>
                <w:lang w:val="en-US" w:eastAsia="zh-CN"/>
              </w:rPr>
              <w:t>环境监测的目的在于了解和掌握污染状况，一般包括以下几个方面：</w:t>
            </w:r>
          </w:p>
          <w:p>
            <w:pPr>
              <w:spacing w:line="360" w:lineRule="auto"/>
              <w:ind w:firstLine="480"/>
              <w:rPr>
                <w:rFonts w:hint="eastAsia"/>
                <w:color w:val="auto"/>
                <w:sz w:val="21"/>
                <w:szCs w:val="21"/>
                <w:lang w:val="en-US" w:eastAsia="zh-CN"/>
              </w:rPr>
            </w:pPr>
            <w:r>
              <w:rPr>
                <w:rFonts w:hint="eastAsia"/>
                <w:color w:val="auto"/>
                <w:sz w:val="21"/>
                <w:szCs w:val="21"/>
                <w:lang w:val="en-US" w:eastAsia="zh-CN"/>
              </w:rPr>
              <w:t>（1）定期监测污染物排放浓度和排放量是否符合国家和地方规定的排放标准，确保污染物排放总量控制在允许的环境容量内；</w:t>
            </w:r>
          </w:p>
          <w:p>
            <w:pPr>
              <w:spacing w:line="360" w:lineRule="auto"/>
              <w:ind w:firstLine="480"/>
              <w:rPr>
                <w:rFonts w:hint="eastAsia"/>
                <w:color w:val="auto"/>
                <w:sz w:val="21"/>
                <w:szCs w:val="21"/>
                <w:lang w:val="en-US" w:eastAsia="zh-CN"/>
              </w:rPr>
            </w:pPr>
            <w:r>
              <w:rPr>
                <w:rFonts w:hint="eastAsia"/>
                <w:color w:val="auto"/>
                <w:sz w:val="21"/>
                <w:szCs w:val="21"/>
                <w:lang w:val="en-US" w:eastAsia="zh-CN"/>
              </w:rPr>
              <w:t>（2）分析所排污染物的变化规律和环境影响程度，为控制污染提供依据，加强污染物处理装置的日常维护使用，提高科学管理水平；</w:t>
            </w:r>
          </w:p>
          <w:p>
            <w:pPr>
              <w:spacing w:line="360" w:lineRule="auto"/>
              <w:ind w:firstLine="480"/>
              <w:rPr>
                <w:rFonts w:hint="eastAsia"/>
                <w:color w:val="auto"/>
                <w:sz w:val="21"/>
                <w:szCs w:val="21"/>
                <w:lang w:val="en-US" w:eastAsia="zh-CN"/>
              </w:rPr>
            </w:pPr>
            <w:r>
              <w:rPr>
                <w:rFonts w:hint="eastAsia"/>
                <w:color w:val="auto"/>
                <w:sz w:val="21"/>
                <w:szCs w:val="21"/>
                <w:lang w:val="en-US" w:eastAsia="zh-CN"/>
              </w:rPr>
              <w:t>（3）协助环境保护行政主管部门对风险事故的监测、分析和报告。</w:t>
            </w:r>
          </w:p>
          <w:p>
            <w:pPr>
              <w:spacing w:line="360" w:lineRule="auto"/>
              <w:ind w:firstLine="480"/>
              <w:rPr>
                <w:rFonts w:hint="eastAsia"/>
                <w:color w:val="auto"/>
                <w:sz w:val="21"/>
                <w:szCs w:val="21"/>
                <w:lang w:eastAsia="zh-CN"/>
              </w:rPr>
            </w:pPr>
            <w:r>
              <w:rPr>
                <w:rFonts w:hint="eastAsia"/>
                <w:color w:val="auto"/>
                <w:sz w:val="21"/>
                <w:szCs w:val="21"/>
                <w:lang w:val="en-US" w:eastAsia="zh-CN"/>
              </w:rPr>
              <w:t>2、环境监测计划</w:t>
            </w:r>
          </w:p>
          <w:p>
            <w:pPr>
              <w:spacing w:line="360" w:lineRule="auto"/>
              <w:ind w:firstLine="480"/>
              <w:rPr>
                <w:rFonts w:hint="default"/>
                <w:color w:val="auto"/>
                <w:sz w:val="21"/>
                <w:szCs w:val="21"/>
                <w:lang w:val="en-US" w:eastAsia="zh-CN"/>
              </w:rPr>
            </w:pPr>
            <w:r>
              <w:rPr>
                <w:rFonts w:hint="eastAsia"/>
                <w:color w:val="auto"/>
                <w:sz w:val="21"/>
                <w:szCs w:val="21"/>
                <w:lang w:eastAsia="zh-CN"/>
              </w:rPr>
              <w:t>本工程为防洪工程，运营期无污染物排放，环境影响很小，</w:t>
            </w:r>
            <w:r>
              <w:rPr>
                <w:rFonts w:hint="eastAsia"/>
                <w:color w:val="auto"/>
                <w:sz w:val="21"/>
                <w:szCs w:val="21"/>
                <w:lang w:val="en-US" w:eastAsia="zh-CN"/>
              </w:rPr>
              <w:t>环境监测计划主要为施工期检测计划，要求委托有资质的专业单位进行监测。本项目污染源与环境监测计划见表</w:t>
            </w:r>
            <w:r>
              <w:rPr>
                <w:rFonts w:hint="default"/>
                <w:color w:val="auto"/>
                <w:sz w:val="21"/>
                <w:szCs w:val="21"/>
                <w:lang w:val="en-US" w:eastAsia="zh-CN"/>
              </w:rPr>
              <w:t>5-</w:t>
            </w:r>
            <w:r>
              <w:rPr>
                <w:rFonts w:hint="eastAsia"/>
                <w:color w:val="auto"/>
                <w:sz w:val="21"/>
                <w:szCs w:val="21"/>
                <w:lang w:val="en-US" w:eastAsia="zh-CN"/>
              </w:rPr>
              <w:t>1。</w:t>
            </w:r>
          </w:p>
          <w:p>
            <w:pPr>
              <w:keepNext w:val="0"/>
              <w:keepLines w:val="0"/>
              <w:widowControl/>
              <w:suppressLineNumbers w:val="0"/>
              <w:jc w:val="center"/>
              <w:rPr>
                <w:color w:val="auto"/>
              </w:rPr>
            </w:pPr>
            <w:r>
              <w:rPr>
                <w:rFonts w:hint="eastAsia" w:ascii="宋体" w:hAnsi="宋体" w:eastAsia="宋体" w:cs="宋体"/>
                <w:b/>
                <w:bCs/>
                <w:color w:val="auto"/>
                <w:kern w:val="0"/>
                <w:sz w:val="20"/>
                <w:szCs w:val="20"/>
                <w:lang w:val="en-US" w:eastAsia="zh-CN" w:bidi="ar"/>
              </w:rPr>
              <w:t>表</w:t>
            </w:r>
            <w:r>
              <w:rPr>
                <w:rFonts w:hint="default" w:ascii="Times New Roman" w:hAnsi="Times New Roman" w:eastAsia="宋体" w:cs="Times New Roman"/>
                <w:b/>
                <w:bCs/>
                <w:color w:val="auto"/>
                <w:kern w:val="0"/>
                <w:sz w:val="20"/>
                <w:szCs w:val="20"/>
                <w:lang w:val="en-US" w:eastAsia="zh-CN" w:bidi="ar"/>
              </w:rPr>
              <w:t>5-</w:t>
            </w:r>
            <w:r>
              <w:rPr>
                <w:rFonts w:hint="eastAsia" w:cs="Times New Roman"/>
                <w:b/>
                <w:bCs/>
                <w:color w:val="auto"/>
                <w:kern w:val="0"/>
                <w:sz w:val="20"/>
                <w:szCs w:val="20"/>
                <w:lang w:val="en-US" w:eastAsia="zh-CN" w:bidi="ar"/>
              </w:rPr>
              <w:t>1</w:t>
            </w:r>
            <w:r>
              <w:rPr>
                <w:rFonts w:hint="default" w:ascii="Times New Roman" w:hAnsi="Times New Roman" w:eastAsia="宋体" w:cs="Times New Roman"/>
                <w:b/>
                <w:bCs/>
                <w:color w:val="auto"/>
                <w:kern w:val="0"/>
                <w:sz w:val="20"/>
                <w:szCs w:val="20"/>
                <w:lang w:val="en-US" w:eastAsia="zh-CN" w:bidi="ar"/>
              </w:rPr>
              <w:t xml:space="preserve"> </w:t>
            </w:r>
            <w:r>
              <w:rPr>
                <w:rFonts w:hint="eastAsia" w:ascii="Times New Roman" w:hAnsi="Times New Roman" w:eastAsia="宋体" w:cs="Times New Roman"/>
                <w:b/>
                <w:bCs/>
                <w:color w:val="auto"/>
                <w:kern w:val="0"/>
                <w:sz w:val="20"/>
                <w:szCs w:val="20"/>
                <w:lang w:val="en-US" w:eastAsia="zh-CN" w:bidi="ar"/>
              </w:rPr>
              <w:t xml:space="preserve"> </w:t>
            </w:r>
            <w:r>
              <w:rPr>
                <w:rFonts w:hint="eastAsia" w:ascii="宋体" w:hAnsi="宋体" w:eastAsia="宋体" w:cs="宋体"/>
                <w:b/>
                <w:bCs/>
                <w:color w:val="auto"/>
                <w:kern w:val="0"/>
                <w:sz w:val="20"/>
                <w:szCs w:val="20"/>
                <w:lang w:val="en-US" w:eastAsia="zh-CN" w:bidi="ar"/>
              </w:rPr>
              <w:t>环境及污染源监测计划表</w:t>
            </w:r>
          </w:p>
          <w:tbl>
            <w:tblPr>
              <w:tblStyle w:val="19"/>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909"/>
              <w:gridCol w:w="1651"/>
              <w:gridCol w:w="819"/>
              <w:gridCol w:w="1536"/>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adjustRightInd w:val="0"/>
                    <w:snapToGrid w:val="0"/>
                    <w:jc w:val="center"/>
                    <w:rPr>
                      <w:rFonts w:hint="eastAsia"/>
                      <w:color w:val="auto"/>
                      <w:szCs w:val="21"/>
                      <w:lang w:val="en-US" w:eastAsia="zh-CN"/>
                    </w:rPr>
                  </w:pPr>
                  <w:r>
                    <w:rPr>
                      <w:rFonts w:hint="eastAsia"/>
                      <w:color w:val="auto"/>
                      <w:szCs w:val="21"/>
                      <w:lang w:val="en-US" w:eastAsia="zh-CN"/>
                    </w:rPr>
                    <w:t>项目</w:t>
                  </w:r>
                </w:p>
              </w:tc>
              <w:tc>
                <w:tcPr>
                  <w:tcW w:w="909" w:type="dxa"/>
                  <w:vAlign w:val="center"/>
                </w:tcPr>
                <w:p>
                  <w:pPr>
                    <w:adjustRightInd w:val="0"/>
                    <w:snapToGrid w:val="0"/>
                    <w:jc w:val="center"/>
                    <w:rPr>
                      <w:color w:val="auto"/>
                      <w:szCs w:val="21"/>
                    </w:rPr>
                  </w:pPr>
                  <w:r>
                    <w:rPr>
                      <w:rFonts w:hint="eastAsia"/>
                      <w:color w:val="auto"/>
                      <w:szCs w:val="21"/>
                      <w:lang w:val="en-US" w:eastAsia="zh-CN"/>
                    </w:rPr>
                    <w:t>监测</w:t>
                  </w:r>
                </w:p>
                <w:p>
                  <w:pPr>
                    <w:adjustRightInd w:val="0"/>
                    <w:snapToGrid w:val="0"/>
                    <w:jc w:val="center"/>
                    <w:rPr>
                      <w:rFonts w:hint="eastAsia"/>
                      <w:color w:val="auto"/>
                      <w:szCs w:val="21"/>
                      <w:lang w:val="en-US" w:eastAsia="zh-CN"/>
                    </w:rPr>
                  </w:pPr>
                  <w:r>
                    <w:rPr>
                      <w:rFonts w:hint="eastAsia"/>
                      <w:color w:val="auto"/>
                      <w:szCs w:val="21"/>
                      <w:lang w:val="en-US" w:eastAsia="zh-CN"/>
                    </w:rPr>
                    <w:t>项目</w:t>
                  </w:r>
                </w:p>
              </w:tc>
              <w:tc>
                <w:tcPr>
                  <w:tcW w:w="1651" w:type="dxa"/>
                  <w:vAlign w:val="center"/>
                </w:tcPr>
                <w:p>
                  <w:pPr>
                    <w:adjustRightInd w:val="0"/>
                    <w:snapToGrid w:val="0"/>
                    <w:jc w:val="center"/>
                    <w:rPr>
                      <w:rFonts w:hint="eastAsia"/>
                      <w:color w:val="auto"/>
                      <w:szCs w:val="21"/>
                      <w:lang w:val="en-US" w:eastAsia="zh-CN"/>
                    </w:rPr>
                  </w:pPr>
                  <w:r>
                    <w:rPr>
                      <w:rFonts w:hint="eastAsia"/>
                      <w:color w:val="auto"/>
                      <w:szCs w:val="21"/>
                      <w:lang w:val="en-US" w:eastAsia="zh-CN"/>
                    </w:rPr>
                    <w:t>监测点位置</w:t>
                  </w:r>
                </w:p>
              </w:tc>
              <w:tc>
                <w:tcPr>
                  <w:tcW w:w="819" w:type="dxa"/>
                  <w:vAlign w:val="center"/>
                </w:tcPr>
                <w:p>
                  <w:pPr>
                    <w:adjustRightInd w:val="0"/>
                    <w:snapToGrid w:val="0"/>
                    <w:jc w:val="center"/>
                    <w:rPr>
                      <w:color w:val="auto"/>
                      <w:szCs w:val="21"/>
                    </w:rPr>
                  </w:pPr>
                  <w:r>
                    <w:rPr>
                      <w:rFonts w:hint="eastAsia"/>
                      <w:color w:val="auto"/>
                      <w:szCs w:val="21"/>
                      <w:lang w:val="en-US" w:eastAsia="zh-CN"/>
                    </w:rPr>
                    <w:t>监测</w:t>
                  </w:r>
                </w:p>
                <w:p>
                  <w:pPr>
                    <w:adjustRightInd w:val="0"/>
                    <w:snapToGrid w:val="0"/>
                    <w:jc w:val="center"/>
                    <w:rPr>
                      <w:rFonts w:hint="eastAsia"/>
                      <w:color w:val="auto"/>
                      <w:szCs w:val="21"/>
                      <w:lang w:val="en-US" w:eastAsia="zh-CN"/>
                    </w:rPr>
                  </w:pPr>
                  <w:r>
                    <w:rPr>
                      <w:rFonts w:hint="eastAsia"/>
                      <w:color w:val="auto"/>
                      <w:szCs w:val="21"/>
                      <w:lang w:val="en-US" w:eastAsia="zh-CN"/>
                    </w:rPr>
                    <w:t>点数</w:t>
                  </w:r>
                </w:p>
              </w:tc>
              <w:tc>
                <w:tcPr>
                  <w:tcW w:w="1536" w:type="dxa"/>
                  <w:vAlign w:val="center"/>
                </w:tcPr>
                <w:p>
                  <w:pPr>
                    <w:adjustRightInd w:val="0"/>
                    <w:snapToGrid w:val="0"/>
                    <w:jc w:val="center"/>
                    <w:rPr>
                      <w:rFonts w:hint="eastAsia"/>
                      <w:color w:val="auto"/>
                      <w:szCs w:val="21"/>
                      <w:lang w:val="en-US" w:eastAsia="zh-CN"/>
                    </w:rPr>
                  </w:pPr>
                  <w:r>
                    <w:rPr>
                      <w:rFonts w:hint="eastAsia"/>
                      <w:color w:val="auto"/>
                      <w:szCs w:val="21"/>
                      <w:lang w:val="en-US" w:eastAsia="zh-CN"/>
                    </w:rPr>
                    <w:t>监测频率</w:t>
                  </w:r>
                </w:p>
              </w:tc>
              <w:tc>
                <w:tcPr>
                  <w:tcW w:w="2444" w:type="dxa"/>
                  <w:vAlign w:val="center"/>
                </w:tcPr>
                <w:p>
                  <w:pPr>
                    <w:adjustRightInd w:val="0"/>
                    <w:snapToGrid w:val="0"/>
                    <w:jc w:val="center"/>
                    <w:rPr>
                      <w:rFonts w:hint="eastAsia"/>
                      <w:color w:val="auto"/>
                      <w:szCs w:val="21"/>
                      <w:lang w:val="en-US" w:eastAsia="zh-CN"/>
                    </w:rPr>
                  </w:pPr>
                  <w:r>
                    <w:rPr>
                      <w:rFonts w:hint="eastAsia"/>
                      <w:color w:val="auto"/>
                      <w:szCs w:val="21"/>
                      <w:lang w:val="en-US" w:eastAsia="zh-CN"/>
                    </w:rPr>
                    <w:t>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adjustRightInd w:val="0"/>
                    <w:snapToGrid w:val="0"/>
                    <w:jc w:val="center"/>
                    <w:rPr>
                      <w:rFonts w:hint="eastAsia"/>
                      <w:color w:val="auto"/>
                      <w:szCs w:val="21"/>
                      <w:lang w:val="en-US" w:eastAsia="zh-CN"/>
                    </w:rPr>
                  </w:pPr>
                  <w:r>
                    <w:rPr>
                      <w:rFonts w:hint="eastAsia"/>
                      <w:color w:val="auto"/>
                      <w:szCs w:val="21"/>
                      <w:lang w:val="en-US" w:eastAsia="zh-CN"/>
                    </w:rPr>
                    <w:t>无组织扬尘</w:t>
                  </w:r>
                </w:p>
              </w:tc>
              <w:tc>
                <w:tcPr>
                  <w:tcW w:w="909" w:type="dxa"/>
                  <w:vAlign w:val="center"/>
                </w:tcPr>
                <w:p>
                  <w:pPr>
                    <w:adjustRightInd w:val="0"/>
                    <w:snapToGrid w:val="0"/>
                    <w:jc w:val="center"/>
                    <w:rPr>
                      <w:rFonts w:hint="eastAsia"/>
                      <w:color w:val="auto"/>
                      <w:szCs w:val="21"/>
                      <w:lang w:val="en-US" w:eastAsia="zh-CN"/>
                    </w:rPr>
                  </w:pPr>
                  <w:r>
                    <w:rPr>
                      <w:rFonts w:hint="default"/>
                      <w:color w:val="auto"/>
                      <w:szCs w:val="21"/>
                      <w:lang w:val="en-US" w:eastAsia="zh-CN"/>
                    </w:rPr>
                    <w:t>TSP</w:t>
                  </w:r>
                </w:p>
              </w:tc>
              <w:tc>
                <w:tcPr>
                  <w:tcW w:w="1651" w:type="dxa"/>
                  <w:vAlign w:val="center"/>
                </w:tcPr>
                <w:p>
                  <w:pPr>
                    <w:adjustRightInd w:val="0"/>
                    <w:snapToGrid w:val="0"/>
                    <w:jc w:val="center"/>
                    <w:rPr>
                      <w:rFonts w:hint="eastAsia"/>
                      <w:color w:val="auto"/>
                      <w:szCs w:val="21"/>
                      <w:lang w:val="en-US" w:eastAsia="zh-CN"/>
                    </w:rPr>
                  </w:pPr>
                  <w:r>
                    <w:rPr>
                      <w:rFonts w:hint="eastAsia"/>
                      <w:color w:val="auto"/>
                      <w:szCs w:val="21"/>
                      <w:lang w:val="en-US" w:eastAsia="zh-CN"/>
                    </w:rPr>
                    <w:t>施工场地的上风向</w:t>
                  </w:r>
                  <w:r>
                    <w:rPr>
                      <w:rFonts w:hint="default"/>
                      <w:color w:val="auto"/>
                      <w:szCs w:val="21"/>
                      <w:lang w:val="en-US" w:eastAsia="zh-CN"/>
                    </w:rPr>
                    <w:t>1</w:t>
                  </w:r>
                  <w:r>
                    <w:rPr>
                      <w:rFonts w:hint="eastAsia"/>
                      <w:color w:val="auto"/>
                      <w:szCs w:val="21"/>
                      <w:lang w:val="en-US" w:eastAsia="zh-CN"/>
                    </w:rPr>
                    <w:t>个、下风向</w:t>
                  </w:r>
                  <w:r>
                    <w:rPr>
                      <w:rFonts w:hint="default"/>
                      <w:color w:val="auto"/>
                      <w:szCs w:val="21"/>
                      <w:lang w:val="en-US" w:eastAsia="zh-CN"/>
                    </w:rPr>
                    <w:t>3</w:t>
                  </w:r>
                  <w:r>
                    <w:rPr>
                      <w:rFonts w:hint="eastAsia"/>
                      <w:color w:val="auto"/>
                      <w:szCs w:val="21"/>
                      <w:lang w:val="en-US" w:eastAsia="zh-CN"/>
                    </w:rPr>
                    <w:t>个</w:t>
                  </w:r>
                </w:p>
              </w:tc>
              <w:tc>
                <w:tcPr>
                  <w:tcW w:w="819" w:type="dxa"/>
                  <w:vAlign w:val="center"/>
                </w:tcPr>
                <w:p>
                  <w:pPr>
                    <w:adjustRightInd w:val="0"/>
                    <w:snapToGrid w:val="0"/>
                    <w:jc w:val="center"/>
                    <w:rPr>
                      <w:rFonts w:hint="eastAsia"/>
                      <w:color w:val="auto"/>
                      <w:szCs w:val="21"/>
                      <w:lang w:val="en-US" w:eastAsia="zh-CN"/>
                    </w:rPr>
                  </w:pPr>
                  <w:r>
                    <w:rPr>
                      <w:rFonts w:hint="default"/>
                      <w:color w:val="auto"/>
                      <w:szCs w:val="21"/>
                      <w:lang w:val="en-US" w:eastAsia="zh-CN"/>
                    </w:rPr>
                    <w:t>4</w:t>
                  </w:r>
                  <w:r>
                    <w:rPr>
                      <w:rFonts w:hint="eastAsia"/>
                      <w:color w:val="auto"/>
                      <w:szCs w:val="21"/>
                      <w:lang w:val="en-US" w:eastAsia="zh-CN"/>
                    </w:rPr>
                    <w:t>个</w:t>
                  </w:r>
                </w:p>
              </w:tc>
              <w:tc>
                <w:tcPr>
                  <w:tcW w:w="1536" w:type="dxa"/>
                  <w:vAlign w:val="center"/>
                </w:tcPr>
                <w:p>
                  <w:pPr>
                    <w:adjustRightInd w:val="0"/>
                    <w:snapToGrid w:val="0"/>
                    <w:jc w:val="center"/>
                    <w:rPr>
                      <w:rFonts w:hint="eastAsia"/>
                      <w:color w:val="auto"/>
                      <w:szCs w:val="21"/>
                      <w:lang w:val="en-US" w:eastAsia="zh-CN"/>
                    </w:rPr>
                  </w:pPr>
                  <w:r>
                    <w:rPr>
                      <w:rFonts w:hint="eastAsia"/>
                      <w:color w:val="auto"/>
                      <w:szCs w:val="21"/>
                      <w:lang w:val="en-US" w:eastAsia="zh-CN"/>
                    </w:rPr>
                    <w:t>施工期每季度监测一次</w:t>
                  </w:r>
                </w:p>
              </w:tc>
              <w:tc>
                <w:tcPr>
                  <w:tcW w:w="2444" w:type="dxa"/>
                  <w:vAlign w:val="center"/>
                </w:tcPr>
                <w:p>
                  <w:pPr>
                    <w:adjustRightInd w:val="0"/>
                    <w:snapToGrid w:val="0"/>
                    <w:jc w:val="center"/>
                    <w:rPr>
                      <w:rFonts w:hint="eastAsia"/>
                      <w:color w:val="auto"/>
                      <w:szCs w:val="21"/>
                      <w:lang w:val="en-US" w:eastAsia="zh-CN"/>
                    </w:rPr>
                  </w:pPr>
                  <w:r>
                    <w:rPr>
                      <w:rFonts w:hint="eastAsia"/>
                      <w:color w:val="auto"/>
                      <w:szCs w:val="21"/>
                      <w:lang w:val="en-US" w:eastAsia="zh-CN"/>
                    </w:rPr>
                    <w:t>《施工场界扬尘排放限值》（</w:t>
                  </w:r>
                  <w:r>
                    <w:rPr>
                      <w:rFonts w:hint="default"/>
                      <w:color w:val="auto"/>
                      <w:szCs w:val="21"/>
                      <w:lang w:val="en-US" w:eastAsia="zh-CN"/>
                    </w:rPr>
                    <w:t>DB61/1078-2017</w:t>
                  </w:r>
                  <w:r>
                    <w:rPr>
                      <w:rFonts w:hint="eastAsia"/>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adjustRightInd w:val="0"/>
                    <w:snapToGrid w:val="0"/>
                    <w:jc w:val="center"/>
                    <w:rPr>
                      <w:rFonts w:hint="eastAsia"/>
                      <w:color w:val="auto"/>
                      <w:szCs w:val="21"/>
                      <w:lang w:val="en-US" w:eastAsia="zh-CN"/>
                    </w:rPr>
                  </w:pPr>
                  <w:r>
                    <w:rPr>
                      <w:rFonts w:hint="eastAsia"/>
                      <w:color w:val="auto"/>
                      <w:szCs w:val="21"/>
                      <w:lang w:val="en-US" w:eastAsia="zh-CN"/>
                    </w:rPr>
                    <w:t>声环境</w:t>
                  </w:r>
                </w:p>
              </w:tc>
              <w:tc>
                <w:tcPr>
                  <w:tcW w:w="909" w:type="dxa"/>
                  <w:vAlign w:val="center"/>
                </w:tcPr>
                <w:p>
                  <w:pPr>
                    <w:adjustRightInd w:val="0"/>
                    <w:snapToGrid w:val="0"/>
                    <w:jc w:val="center"/>
                    <w:rPr>
                      <w:rFonts w:hint="eastAsia"/>
                      <w:color w:val="auto"/>
                      <w:szCs w:val="21"/>
                      <w:lang w:val="en-US" w:eastAsia="zh-CN"/>
                    </w:rPr>
                  </w:pPr>
                  <w:r>
                    <w:rPr>
                      <w:rFonts w:hint="default"/>
                      <w:color w:val="auto"/>
                      <w:szCs w:val="21"/>
                      <w:lang w:val="en-US" w:eastAsia="zh-CN"/>
                    </w:rPr>
                    <w:t>Leq(A)</w:t>
                  </w:r>
                </w:p>
              </w:tc>
              <w:tc>
                <w:tcPr>
                  <w:tcW w:w="1651" w:type="dxa"/>
                  <w:vAlign w:val="center"/>
                </w:tcPr>
                <w:p>
                  <w:pPr>
                    <w:adjustRightInd w:val="0"/>
                    <w:snapToGrid w:val="0"/>
                    <w:jc w:val="center"/>
                    <w:rPr>
                      <w:rFonts w:hint="eastAsia"/>
                      <w:color w:val="auto"/>
                      <w:szCs w:val="21"/>
                      <w:lang w:val="en-US" w:eastAsia="zh-CN"/>
                    </w:rPr>
                  </w:pPr>
                  <w:r>
                    <w:rPr>
                      <w:rFonts w:hint="eastAsia" w:ascii="宋体" w:cs="宋体"/>
                      <w:color w:val="auto"/>
                      <w:kern w:val="0"/>
                      <w:szCs w:val="21"/>
                      <w:lang w:val="en-US" w:eastAsia="zh-CN"/>
                    </w:rPr>
                    <w:t>武学村、石滚坝、新生村</w:t>
                  </w:r>
                </w:p>
              </w:tc>
              <w:tc>
                <w:tcPr>
                  <w:tcW w:w="819" w:type="dxa"/>
                  <w:vAlign w:val="center"/>
                </w:tcPr>
                <w:p>
                  <w:pPr>
                    <w:adjustRightInd w:val="0"/>
                    <w:snapToGrid w:val="0"/>
                    <w:jc w:val="center"/>
                    <w:rPr>
                      <w:rFonts w:hint="eastAsia"/>
                      <w:color w:val="auto"/>
                      <w:szCs w:val="21"/>
                      <w:lang w:val="en-US" w:eastAsia="zh-CN"/>
                    </w:rPr>
                  </w:pPr>
                  <w:r>
                    <w:rPr>
                      <w:rFonts w:hint="eastAsia"/>
                      <w:color w:val="auto"/>
                      <w:szCs w:val="21"/>
                      <w:lang w:val="en-US" w:eastAsia="zh-CN"/>
                    </w:rPr>
                    <w:t>3个</w:t>
                  </w:r>
                </w:p>
              </w:tc>
              <w:tc>
                <w:tcPr>
                  <w:tcW w:w="1536" w:type="dxa"/>
                  <w:vAlign w:val="center"/>
                </w:tcPr>
                <w:p>
                  <w:pPr>
                    <w:adjustRightInd w:val="0"/>
                    <w:snapToGrid w:val="0"/>
                    <w:jc w:val="center"/>
                    <w:rPr>
                      <w:rFonts w:hint="eastAsia"/>
                      <w:color w:val="auto"/>
                      <w:szCs w:val="21"/>
                      <w:lang w:val="en-US" w:eastAsia="zh-CN"/>
                    </w:rPr>
                  </w:pPr>
                  <w:r>
                    <w:rPr>
                      <w:rFonts w:hint="eastAsia"/>
                      <w:color w:val="auto"/>
                      <w:szCs w:val="21"/>
                      <w:lang w:val="en-US" w:eastAsia="zh-CN"/>
                    </w:rPr>
                    <w:t>施工高峰期昼夜各一次</w:t>
                  </w:r>
                </w:p>
              </w:tc>
              <w:tc>
                <w:tcPr>
                  <w:tcW w:w="2444" w:type="dxa"/>
                  <w:vAlign w:val="center"/>
                </w:tcPr>
                <w:p>
                  <w:pPr>
                    <w:adjustRightInd w:val="0"/>
                    <w:snapToGrid w:val="0"/>
                    <w:jc w:val="center"/>
                    <w:rPr>
                      <w:rFonts w:hint="eastAsia"/>
                      <w:color w:val="auto"/>
                      <w:szCs w:val="21"/>
                      <w:lang w:val="en-US" w:eastAsia="zh-CN"/>
                    </w:rPr>
                  </w:pPr>
                  <w:r>
                    <w:rPr>
                      <w:rFonts w:hint="eastAsia"/>
                      <w:color w:val="auto"/>
                      <w:szCs w:val="21"/>
                      <w:lang w:val="en-US" w:eastAsia="zh-CN"/>
                    </w:rPr>
                    <w:t>《声环境质量标准》</w:t>
                  </w:r>
                  <w:r>
                    <w:rPr>
                      <w:rFonts w:hint="default"/>
                      <w:color w:val="auto"/>
                      <w:szCs w:val="21"/>
                      <w:lang w:val="en-US" w:eastAsia="zh-CN"/>
                    </w:rPr>
                    <w:t>(GB3096-2008)2</w:t>
                  </w:r>
                  <w:r>
                    <w:rPr>
                      <w:rFonts w:hint="eastAsia"/>
                      <w:color w:val="auto"/>
                      <w:szCs w:val="21"/>
                      <w:lang w:val="en-US" w:eastAsia="zh-CN"/>
                    </w:rPr>
                    <w:t>类标准</w:t>
                  </w:r>
                </w:p>
              </w:tc>
            </w:tr>
          </w:tbl>
          <w:p>
            <w:pPr>
              <w:pStyle w:val="2"/>
              <w:rPr>
                <w:rFonts w:hint="default" w:ascii="Times New Roman" w:hAnsi="Times New Roman" w:eastAsia="宋体" w:cs="Times New Roman"/>
                <w:color w:val="auto"/>
                <w:kern w:val="0"/>
                <w:sz w:val="24"/>
                <w:szCs w:val="24"/>
                <w:lang w:val="en-US" w:eastAsia="zh-CN" w:bidi="ar"/>
              </w:rPr>
            </w:pPr>
          </w:p>
          <w:p>
            <w:pPr>
              <w:adjustRightInd w:val="0"/>
              <w:snapToGrid w:val="0"/>
              <w:rPr>
                <w:bCs/>
                <w:color w:val="auto"/>
                <w:spacing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753" w:type="dxa"/>
            <w:vAlign w:val="center"/>
          </w:tcPr>
          <w:p>
            <w:pPr>
              <w:adjustRightInd w:val="0"/>
              <w:snapToGrid w:val="0"/>
              <w:jc w:val="center"/>
              <w:rPr>
                <w:bCs/>
                <w:color w:val="auto"/>
                <w:spacing w:val="10"/>
                <w:szCs w:val="21"/>
              </w:rPr>
            </w:pPr>
            <w:r>
              <w:rPr>
                <w:bCs/>
                <w:color w:val="auto"/>
                <w:szCs w:val="21"/>
              </w:rPr>
              <w:t>环保投资</w:t>
            </w:r>
          </w:p>
        </w:tc>
        <w:tc>
          <w:tcPr>
            <w:tcW w:w="8457" w:type="dxa"/>
          </w:tcPr>
          <w:p>
            <w:pPr>
              <w:spacing w:line="360" w:lineRule="auto"/>
              <w:ind w:firstLine="480"/>
              <w:rPr>
                <w:rFonts w:eastAsia="黑体"/>
                <w:bCs/>
                <w:color w:val="auto"/>
                <w:sz w:val="21"/>
                <w:szCs w:val="21"/>
                <w:lang w:val="zh-CN"/>
              </w:rPr>
            </w:pPr>
            <w:r>
              <w:rPr>
                <w:rFonts w:hint="eastAsia"/>
                <w:color w:val="auto"/>
                <w:sz w:val="21"/>
                <w:szCs w:val="21"/>
                <w:lang w:eastAsia="zh-CN"/>
              </w:rPr>
              <w:t>本工程为防洪工程，运营期无污染物排放，环保投资主要为施工期污染物防治措施环保投资。</w:t>
            </w:r>
            <w:r>
              <w:rPr>
                <w:color w:val="auto"/>
                <w:sz w:val="21"/>
                <w:szCs w:val="21"/>
              </w:rPr>
              <w:t>根据项目工程概算以及评价提出的环保措施及建议，估算本项目所需环境保护投资</w:t>
            </w:r>
            <w:r>
              <w:rPr>
                <w:rFonts w:hint="eastAsia"/>
                <w:color w:val="auto"/>
                <w:sz w:val="21"/>
                <w:szCs w:val="21"/>
                <w:lang w:val="en-US" w:eastAsia="zh-CN"/>
              </w:rPr>
              <w:t>65</w:t>
            </w:r>
            <w:r>
              <w:rPr>
                <w:color w:val="auto"/>
                <w:sz w:val="21"/>
                <w:szCs w:val="21"/>
              </w:rPr>
              <w:t>万元，占工程总投资</w:t>
            </w:r>
            <w:r>
              <w:rPr>
                <w:rFonts w:hint="eastAsia"/>
                <w:color w:val="auto"/>
                <w:kern w:val="0"/>
                <w:sz w:val="21"/>
                <w:szCs w:val="21"/>
                <w:lang w:val="en-US" w:eastAsia="zh-CN"/>
              </w:rPr>
              <w:t>1785.68</w:t>
            </w:r>
            <w:r>
              <w:rPr>
                <w:color w:val="auto"/>
                <w:sz w:val="21"/>
                <w:szCs w:val="21"/>
              </w:rPr>
              <w:t>万元的</w:t>
            </w:r>
            <w:r>
              <w:rPr>
                <w:rFonts w:hint="eastAsia"/>
                <w:color w:val="auto"/>
                <w:sz w:val="21"/>
                <w:szCs w:val="21"/>
                <w:lang w:val="en-US" w:eastAsia="zh-CN"/>
              </w:rPr>
              <w:t>3.64</w:t>
            </w:r>
            <w:r>
              <w:rPr>
                <w:color w:val="auto"/>
                <w:sz w:val="21"/>
                <w:szCs w:val="21"/>
              </w:rPr>
              <w:t>%，详见表</w:t>
            </w:r>
            <w:r>
              <w:rPr>
                <w:rFonts w:hint="eastAsia"/>
                <w:color w:val="auto"/>
                <w:sz w:val="21"/>
                <w:szCs w:val="21"/>
                <w:lang w:val="en-US" w:eastAsia="zh-CN"/>
              </w:rPr>
              <w:t>5-2</w:t>
            </w:r>
            <w:r>
              <w:rPr>
                <w:color w:val="auto"/>
                <w:sz w:val="21"/>
                <w:szCs w:val="21"/>
              </w:rPr>
              <w:t>。</w:t>
            </w:r>
          </w:p>
          <w:p>
            <w:pPr>
              <w:widowControl/>
              <w:adjustRightInd w:val="0"/>
              <w:snapToGrid w:val="0"/>
              <w:jc w:val="center"/>
              <w:rPr>
                <w:rFonts w:eastAsia="黑体"/>
                <w:bCs/>
                <w:color w:val="auto"/>
                <w:szCs w:val="21"/>
                <w:lang w:val="zh-CN"/>
              </w:rPr>
            </w:pPr>
            <w:r>
              <w:rPr>
                <w:rFonts w:eastAsia="黑体"/>
                <w:bCs/>
                <w:color w:val="auto"/>
                <w:szCs w:val="21"/>
                <w:lang w:val="zh-CN"/>
              </w:rPr>
              <w:t>表</w:t>
            </w:r>
            <w:r>
              <w:rPr>
                <w:rFonts w:hint="eastAsia" w:eastAsia="黑体"/>
                <w:bCs/>
                <w:color w:val="auto"/>
                <w:szCs w:val="21"/>
                <w:lang w:val="en-US" w:eastAsia="zh-CN"/>
              </w:rPr>
              <w:t>5-2</w:t>
            </w:r>
            <w:r>
              <w:rPr>
                <w:rFonts w:eastAsia="黑体"/>
                <w:bCs/>
                <w:color w:val="auto"/>
                <w:szCs w:val="21"/>
                <w:lang w:val="zh-CN"/>
              </w:rPr>
              <w:t xml:space="preserve">  环保措施投资估算表</w:t>
            </w:r>
          </w:p>
          <w:tbl>
            <w:tblPr>
              <w:tblStyle w:val="18"/>
              <w:tblW w:w="824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70"/>
              <w:gridCol w:w="1610"/>
              <w:gridCol w:w="681"/>
              <w:gridCol w:w="727"/>
              <w:gridCol w:w="1333"/>
              <w:gridCol w:w="32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Header/>
                <w:jc w:val="center"/>
              </w:trPr>
              <w:tc>
                <w:tcPr>
                  <w:tcW w:w="670" w:type="dxa"/>
                  <w:shd w:val="clear" w:color="auto" w:fill="auto"/>
                  <w:vAlign w:val="center"/>
                </w:tcPr>
                <w:p>
                  <w:pPr>
                    <w:adjustRightInd w:val="0"/>
                    <w:snapToGrid w:val="0"/>
                    <w:jc w:val="center"/>
                    <w:rPr>
                      <w:bCs/>
                      <w:color w:val="auto"/>
                      <w:szCs w:val="21"/>
                    </w:rPr>
                  </w:pPr>
                  <w:r>
                    <w:rPr>
                      <w:bCs/>
                      <w:color w:val="auto"/>
                      <w:szCs w:val="21"/>
                    </w:rPr>
                    <w:t>污染源</w:t>
                  </w:r>
                </w:p>
              </w:tc>
              <w:tc>
                <w:tcPr>
                  <w:tcW w:w="1610" w:type="dxa"/>
                  <w:shd w:val="clear" w:color="auto" w:fill="auto"/>
                  <w:vAlign w:val="center"/>
                </w:tcPr>
                <w:p>
                  <w:pPr>
                    <w:adjustRightInd w:val="0"/>
                    <w:snapToGrid w:val="0"/>
                    <w:jc w:val="center"/>
                    <w:rPr>
                      <w:bCs/>
                      <w:color w:val="auto"/>
                      <w:szCs w:val="21"/>
                    </w:rPr>
                  </w:pPr>
                  <w:r>
                    <w:rPr>
                      <w:bCs/>
                      <w:color w:val="auto"/>
                      <w:szCs w:val="21"/>
                    </w:rPr>
                    <w:t>环保设施名称</w:t>
                  </w:r>
                </w:p>
              </w:tc>
              <w:tc>
                <w:tcPr>
                  <w:tcW w:w="681" w:type="dxa"/>
                  <w:shd w:val="clear" w:color="auto" w:fill="auto"/>
                  <w:vAlign w:val="center"/>
                </w:tcPr>
                <w:p>
                  <w:pPr>
                    <w:adjustRightInd w:val="0"/>
                    <w:snapToGrid w:val="0"/>
                    <w:jc w:val="center"/>
                    <w:rPr>
                      <w:bCs/>
                      <w:color w:val="auto"/>
                      <w:szCs w:val="21"/>
                    </w:rPr>
                  </w:pPr>
                  <w:r>
                    <w:rPr>
                      <w:bCs/>
                      <w:color w:val="auto"/>
                      <w:szCs w:val="21"/>
                    </w:rPr>
                    <w:t>数量</w:t>
                  </w:r>
                </w:p>
              </w:tc>
              <w:tc>
                <w:tcPr>
                  <w:tcW w:w="727" w:type="dxa"/>
                  <w:shd w:val="clear" w:color="auto" w:fill="auto"/>
                  <w:vAlign w:val="center"/>
                </w:tcPr>
                <w:p>
                  <w:pPr>
                    <w:adjustRightInd w:val="0"/>
                    <w:snapToGrid w:val="0"/>
                    <w:jc w:val="center"/>
                    <w:rPr>
                      <w:bCs/>
                      <w:color w:val="auto"/>
                      <w:szCs w:val="21"/>
                    </w:rPr>
                  </w:pPr>
                  <w:r>
                    <w:rPr>
                      <w:bCs/>
                      <w:color w:val="auto"/>
                      <w:szCs w:val="21"/>
                    </w:rPr>
                    <w:t>单位</w:t>
                  </w:r>
                </w:p>
              </w:tc>
              <w:tc>
                <w:tcPr>
                  <w:tcW w:w="1333" w:type="dxa"/>
                  <w:shd w:val="clear" w:color="auto" w:fill="auto"/>
                  <w:vAlign w:val="center"/>
                </w:tcPr>
                <w:p>
                  <w:pPr>
                    <w:adjustRightInd w:val="0"/>
                    <w:snapToGrid w:val="0"/>
                    <w:jc w:val="center"/>
                    <w:rPr>
                      <w:bCs/>
                      <w:color w:val="auto"/>
                      <w:szCs w:val="21"/>
                    </w:rPr>
                  </w:pPr>
                  <w:r>
                    <w:rPr>
                      <w:bCs/>
                      <w:color w:val="auto"/>
                      <w:szCs w:val="21"/>
                    </w:rPr>
                    <w:t>环保投资（万元）</w:t>
                  </w:r>
                </w:p>
              </w:tc>
              <w:tc>
                <w:tcPr>
                  <w:tcW w:w="3228" w:type="dxa"/>
                  <w:shd w:val="clear" w:color="auto" w:fill="auto"/>
                  <w:vAlign w:val="center"/>
                </w:tcPr>
                <w:p>
                  <w:pPr>
                    <w:adjustRightInd w:val="0"/>
                    <w:snapToGrid w:val="0"/>
                    <w:jc w:val="center"/>
                    <w:rPr>
                      <w:bCs/>
                      <w:color w:val="auto"/>
                      <w:szCs w:val="21"/>
                    </w:rPr>
                  </w:pPr>
                  <w:r>
                    <w:rPr>
                      <w:bCs/>
                      <w:color w:val="auto"/>
                      <w:szCs w:val="21"/>
                    </w:rPr>
                    <w:t>效果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jc w:val="center"/>
                    <w:rPr>
                      <w:color w:val="auto"/>
                      <w:szCs w:val="21"/>
                    </w:rPr>
                  </w:pPr>
                  <w:r>
                    <w:rPr>
                      <w:color w:val="auto"/>
                      <w:szCs w:val="21"/>
                    </w:rPr>
                    <w:t>废水</w:t>
                  </w:r>
                </w:p>
              </w:tc>
              <w:tc>
                <w:tcPr>
                  <w:tcW w:w="1610" w:type="dxa"/>
                  <w:vAlign w:val="center"/>
                </w:tcPr>
                <w:p>
                  <w:pPr>
                    <w:adjustRightInd w:val="0"/>
                    <w:snapToGrid w:val="0"/>
                    <w:jc w:val="center"/>
                    <w:rPr>
                      <w:color w:val="auto"/>
                      <w:szCs w:val="21"/>
                    </w:rPr>
                  </w:pPr>
                  <w:r>
                    <w:rPr>
                      <w:color w:val="auto"/>
                      <w:szCs w:val="21"/>
                    </w:rPr>
                    <w:t>施工废水处理（沉淀池）</w:t>
                  </w:r>
                </w:p>
              </w:tc>
              <w:tc>
                <w:tcPr>
                  <w:tcW w:w="681" w:type="dxa"/>
                  <w:vAlign w:val="center"/>
                </w:tcPr>
                <w:p>
                  <w:pPr>
                    <w:adjustRightInd w:val="0"/>
                    <w:snapToGrid w:val="0"/>
                    <w:jc w:val="center"/>
                    <w:rPr>
                      <w:rFonts w:hint="eastAsia" w:eastAsia="宋体"/>
                      <w:color w:val="auto"/>
                      <w:szCs w:val="21"/>
                      <w:lang w:eastAsia="zh-CN"/>
                    </w:rPr>
                  </w:pPr>
                  <w:r>
                    <w:rPr>
                      <w:rFonts w:hint="eastAsia"/>
                      <w:color w:val="auto"/>
                      <w:szCs w:val="21"/>
                      <w:lang w:val="en-US" w:eastAsia="zh-CN"/>
                    </w:rPr>
                    <w:t>3</w:t>
                  </w:r>
                </w:p>
              </w:tc>
              <w:tc>
                <w:tcPr>
                  <w:tcW w:w="727" w:type="dxa"/>
                  <w:vAlign w:val="center"/>
                </w:tcPr>
                <w:p>
                  <w:pPr>
                    <w:adjustRightInd w:val="0"/>
                    <w:snapToGrid w:val="0"/>
                    <w:jc w:val="center"/>
                    <w:rPr>
                      <w:color w:val="auto"/>
                      <w:szCs w:val="21"/>
                    </w:rPr>
                  </w:pPr>
                  <w:r>
                    <w:rPr>
                      <w:color w:val="auto"/>
                      <w:szCs w:val="21"/>
                    </w:rPr>
                    <w:t>座</w:t>
                  </w:r>
                </w:p>
              </w:tc>
              <w:tc>
                <w:tcPr>
                  <w:tcW w:w="1333" w:type="dxa"/>
                  <w:vAlign w:val="center"/>
                </w:tcPr>
                <w:p>
                  <w:pPr>
                    <w:adjustRightInd w:val="0"/>
                    <w:snapToGrid w:val="0"/>
                    <w:jc w:val="center"/>
                    <w:rPr>
                      <w:rFonts w:hint="default" w:eastAsia="宋体"/>
                      <w:color w:val="auto"/>
                      <w:szCs w:val="21"/>
                      <w:highlight w:val="yellow"/>
                      <w:lang w:val="en-US" w:eastAsia="zh-CN"/>
                    </w:rPr>
                  </w:pPr>
                  <w:r>
                    <w:rPr>
                      <w:rFonts w:hint="eastAsia"/>
                      <w:color w:val="auto"/>
                      <w:szCs w:val="21"/>
                      <w:lang w:val="en-US" w:eastAsia="zh-CN"/>
                    </w:rPr>
                    <w:t>12</w:t>
                  </w:r>
                </w:p>
              </w:tc>
              <w:tc>
                <w:tcPr>
                  <w:tcW w:w="3228" w:type="dxa"/>
                  <w:vAlign w:val="center"/>
                </w:tcPr>
                <w:p>
                  <w:pPr>
                    <w:adjustRightInd w:val="0"/>
                    <w:snapToGrid w:val="0"/>
                    <w:jc w:val="center"/>
                    <w:rPr>
                      <w:color w:val="auto"/>
                      <w:szCs w:val="21"/>
                    </w:rPr>
                  </w:pPr>
                  <w:r>
                    <w:rPr>
                      <w:color w:val="auto"/>
                      <w:szCs w:val="21"/>
                    </w:rPr>
                    <w:t>防治施工期生产污水污染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jc w:val="center"/>
                    <w:rPr>
                      <w:color w:val="auto"/>
                      <w:szCs w:val="21"/>
                    </w:rPr>
                  </w:pPr>
                </w:p>
              </w:tc>
              <w:tc>
                <w:tcPr>
                  <w:tcW w:w="1610" w:type="dxa"/>
                  <w:vAlign w:val="center"/>
                </w:tcPr>
                <w:p>
                  <w:pPr>
                    <w:adjustRightInd w:val="0"/>
                    <w:snapToGrid w:val="0"/>
                    <w:jc w:val="center"/>
                    <w:rPr>
                      <w:rFonts w:hint="eastAsia" w:eastAsia="宋体"/>
                      <w:color w:val="auto"/>
                      <w:szCs w:val="21"/>
                      <w:lang w:eastAsia="zh-CN"/>
                    </w:rPr>
                  </w:pPr>
                  <w:r>
                    <w:rPr>
                      <w:rFonts w:hint="eastAsia"/>
                      <w:color w:val="auto"/>
                      <w:szCs w:val="21"/>
                      <w:lang w:eastAsia="zh-CN"/>
                    </w:rPr>
                    <w:t>环保厕所</w:t>
                  </w:r>
                </w:p>
              </w:tc>
              <w:tc>
                <w:tcPr>
                  <w:tcW w:w="681" w:type="dxa"/>
                  <w:vAlign w:val="center"/>
                </w:tcPr>
                <w:p>
                  <w:pPr>
                    <w:adjustRightInd w:val="0"/>
                    <w:snapToGrid w:val="0"/>
                    <w:jc w:val="center"/>
                    <w:rPr>
                      <w:rFonts w:hint="eastAsia" w:eastAsia="宋体"/>
                      <w:color w:val="auto"/>
                      <w:szCs w:val="21"/>
                      <w:lang w:eastAsia="zh-CN"/>
                    </w:rPr>
                  </w:pPr>
                  <w:r>
                    <w:rPr>
                      <w:rFonts w:hint="eastAsia"/>
                      <w:color w:val="auto"/>
                      <w:szCs w:val="21"/>
                      <w:lang w:val="en-US" w:eastAsia="zh-CN"/>
                    </w:rPr>
                    <w:t>3</w:t>
                  </w:r>
                </w:p>
              </w:tc>
              <w:tc>
                <w:tcPr>
                  <w:tcW w:w="727" w:type="dxa"/>
                  <w:vAlign w:val="center"/>
                </w:tcPr>
                <w:p>
                  <w:pPr>
                    <w:adjustRightInd w:val="0"/>
                    <w:snapToGrid w:val="0"/>
                    <w:jc w:val="center"/>
                    <w:rPr>
                      <w:color w:val="auto"/>
                      <w:szCs w:val="21"/>
                    </w:rPr>
                  </w:pPr>
                  <w:r>
                    <w:rPr>
                      <w:color w:val="auto"/>
                      <w:szCs w:val="21"/>
                    </w:rPr>
                    <w:t>座</w:t>
                  </w:r>
                </w:p>
              </w:tc>
              <w:tc>
                <w:tcPr>
                  <w:tcW w:w="1333" w:type="dxa"/>
                  <w:vAlign w:val="center"/>
                </w:tcPr>
                <w:p>
                  <w:pPr>
                    <w:adjustRightInd w:val="0"/>
                    <w:snapToGrid w:val="0"/>
                    <w:jc w:val="center"/>
                    <w:rPr>
                      <w:rFonts w:hint="eastAsia" w:eastAsia="宋体"/>
                      <w:color w:val="auto"/>
                      <w:sz w:val="18"/>
                      <w:szCs w:val="18"/>
                      <w:lang w:eastAsia="zh-CN"/>
                    </w:rPr>
                  </w:pPr>
                  <w:r>
                    <w:rPr>
                      <w:rFonts w:hint="eastAsia"/>
                      <w:color w:val="auto"/>
                      <w:szCs w:val="21"/>
                      <w:lang w:val="en-US" w:eastAsia="zh-CN"/>
                    </w:rPr>
                    <w:t>3</w:t>
                  </w:r>
                </w:p>
              </w:tc>
              <w:tc>
                <w:tcPr>
                  <w:tcW w:w="3228" w:type="dxa"/>
                  <w:vAlign w:val="center"/>
                </w:tcPr>
                <w:p>
                  <w:pPr>
                    <w:adjustRightInd w:val="0"/>
                    <w:snapToGrid w:val="0"/>
                    <w:jc w:val="center"/>
                    <w:rPr>
                      <w:color w:val="auto"/>
                      <w:szCs w:val="21"/>
                    </w:rPr>
                  </w:pPr>
                  <w:r>
                    <w:rPr>
                      <w:color w:val="auto"/>
                      <w:szCs w:val="21"/>
                    </w:rPr>
                    <w:t>防治</w:t>
                  </w:r>
                  <w:r>
                    <w:rPr>
                      <w:rFonts w:hint="eastAsia"/>
                      <w:color w:val="auto"/>
                      <w:szCs w:val="21"/>
                      <w:lang w:eastAsia="zh-CN"/>
                    </w:rPr>
                    <w:t>施工场地</w:t>
                  </w:r>
                  <w:r>
                    <w:rPr>
                      <w:color w:val="auto"/>
                      <w:szCs w:val="21"/>
                    </w:rPr>
                    <w:t>生活污水污染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jc w:val="center"/>
                    <w:rPr>
                      <w:color w:val="auto"/>
                      <w:szCs w:val="21"/>
                    </w:rPr>
                  </w:pPr>
                  <w:r>
                    <w:rPr>
                      <w:color w:val="auto"/>
                      <w:szCs w:val="21"/>
                    </w:rPr>
                    <w:t>废气</w:t>
                  </w:r>
                </w:p>
              </w:tc>
              <w:tc>
                <w:tcPr>
                  <w:tcW w:w="1610" w:type="dxa"/>
                  <w:vAlign w:val="center"/>
                </w:tcPr>
                <w:p>
                  <w:pPr>
                    <w:widowControl/>
                    <w:adjustRightInd w:val="0"/>
                    <w:snapToGrid w:val="0"/>
                    <w:jc w:val="center"/>
                    <w:rPr>
                      <w:color w:val="auto"/>
                      <w:kern w:val="0"/>
                      <w:szCs w:val="21"/>
                    </w:rPr>
                  </w:pPr>
                  <w:r>
                    <w:rPr>
                      <w:rFonts w:hint="eastAsia"/>
                      <w:color w:val="auto"/>
                      <w:kern w:val="0"/>
                      <w:szCs w:val="21"/>
                      <w:lang w:eastAsia="zh-CN"/>
                    </w:rPr>
                    <w:t>围挡</w:t>
                  </w:r>
                  <w:r>
                    <w:rPr>
                      <w:color w:val="auto"/>
                      <w:kern w:val="0"/>
                      <w:szCs w:val="21"/>
                    </w:rPr>
                    <w:t>设施</w:t>
                  </w:r>
                </w:p>
              </w:tc>
              <w:tc>
                <w:tcPr>
                  <w:tcW w:w="681" w:type="dxa"/>
                  <w:vAlign w:val="center"/>
                </w:tcPr>
                <w:p>
                  <w:pPr>
                    <w:widowControl/>
                    <w:adjustRightInd w:val="0"/>
                    <w:snapToGrid w:val="0"/>
                    <w:jc w:val="center"/>
                    <w:rPr>
                      <w:color w:val="auto"/>
                      <w:kern w:val="0"/>
                      <w:szCs w:val="21"/>
                    </w:rPr>
                  </w:pPr>
                  <w:r>
                    <w:rPr>
                      <w:color w:val="auto"/>
                      <w:kern w:val="0"/>
                      <w:szCs w:val="21"/>
                    </w:rPr>
                    <w:t>/</w:t>
                  </w:r>
                </w:p>
              </w:tc>
              <w:tc>
                <w:tcPr>
                  <w:tcW w:w="727" w:type="dxa"/>
                  <w:vAlign w:val="center"/>
                </w:tcPr>
                <w:p>
                  <w:pPr>
                    <w:widowControl/>
                    <w:adjustRightInd w:val="0"/>
                    <w:snapToGrid w:val="0"/>
                    <w:jc w:val="center"/>
                    <w:rPr>
                      <w:color w:val="auto"/>
                      <w:kern w:val="0"/>
                      <w:szCs w:val="21"/>
                    </w:rPr>
                  </w:pPr>
                  <w:r>
                    <w:rPr>
                      <w:color w:val="auto"/>
                      <w:kern w:val="0"/>
                      <w:szCs w:val="21"/>
                    </w:rPr>
                    <w:t>/</w:t>
                  </w:r>
                </w:p>
              </w:tc>
              <w:tc>
                <w:tcPr>
                  <w:tcW w:w="1333" w:type="dxa"/>
                  <w:vAlign w:val="center"/>
                </w:tcPr>
                <w:p>
                  <w:pPr>
                    <w:widowControl/>
                    <w:adjustRightInd w:val="0"/>
                    <w:snapToGrid w:val="0"/>
                    <w:jc w:val="center"/>
                    <w:rPr>
                      <w:color w:val="auto"/>
                      <w:kern w:val="0"/>
                      <w:szCs w:val="21"/>
                      <w:highlight w:val="yellow"/>
                    </w:rPr>
                  </w:pPr>
                  <w:r>
                    <w:rPr>
                      <w:color w:val="auto"/>
                      <w:kern w:val="0"/>
                      <w:szCs w:val="21"/>
                    </w:rPr>
                    <w:t>10</w:t>
                  </w:r>
                </w:p>
              </w:tc>
              <w:tc>
                <w:tcPr>
                  <w:tcW w:w="3228" w:type="dxa"/>
                  <w:vAlign w:val="center"/>
                </w:tcPr>
                <w:p>
                  <w:pPr>
                    <w:widowControl/>
                    <w:adjustRightInd w:val="0"/>
                    <w:snapToGrid w:val="0"/>
                    <w:jc w:val="center"/>
                    <w:rPr>
                      <w:color w:val="auto"/>
                      <w:kern w:val="0"/>
                      <w:szCs w:val="21"/>
                    </w:rPr>
                  </w:pPr>
                  <w:r>
                    <w:rPr>
                      <w:color w:val="auto"/>
                      <w:kern w:val="0"/>
                      <w:szCs w:val="21"/>
                    </w:rPr>
                    <w:t>抑制道路、施工、物料扬尘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jc w:val="center"/>
                    <w:rPr>
                      <w:color w:val="auto"/>
                      <w:szCs w:val="21"/>
                    </w:rPr>
                  </w:pPr>
                </w:p>
              </w:tc>
              <w:tc>
                <w:tcPr>
                  <w:tcW w:w="1610" w:type="dxa"/>
                  <w:vAlign w:val="center"/>
                </w:tcPr>
                <w:p>
                  <w:pPr>
                    <w:adjustRightInd w:val="0"/>
                    <w:snapToGrid w:val="0"/>
                    <w:jc w:val="center"/>
                    <w:rPr>
                      <w:color w:val="auto"/>
                      <w:szCs w:val="21"/>
                    </w:rPr>
                  </w:pPr>
                  <w:r>
                    <w:rPr>
                      <w:color w:val="auto"/>
                      <w:szCs w:val="21"/>
                    </w:rPr>
                    <w:t>洒水降尘</w:t>
                  </w:r>
                </w:p>
              </w:tc>
              <w:tc>
                <w:tcPr>
                  <w:tcW w:w="681" w:type="dxa"/>
                  <w:vAlign w:val="center"/>
                </w:tcPr>
                <w:p>
                  <w:pPr>
                    <w:adjustRightInd w:val="0"/>
                    <w:snapToGrid w:val="0"/>
                    <w:jc w:val="center"/>
                    <w:rPr>
                      <w:color w:val="auto"/>
                      <w:szCs w:val="21"/>
                    </w:rPr>
                  </w:pPr>
                  <w:r>
                    <w:rPr>
                      <w:color w:val="auto"/>
                      <w:kern w:val="0"/>
                      <w:szCs w:val="21"/>
                    </w:rPr>
                    <w:t>/</w:t>
                  </w:r>
                </w:p>
              </w:tc>
              <w:tc>
                <w:tcPr>
                  <w:tcW w:w="727" w:type="dxa"/>
                  <w:vAlign w:val="center"/>
                </w:tcPr>
                <w:p>
                  <w:pPr>
                    <w:adjustRightInd w:val="0"/>
                    <w:snapToGrid w:val="0"/>
                    <w:jc w:val="center"/>
                    <w:rPr>
                      <w:color w:val="auto"/>
                      <w:szCs w:val="21"/>
                    </w:rPr>
                  </w:pPr>
                  <w:r>
                    <w:rPr>
                      <w:color w:val="auto"/>
                      <w:kern w:val="0"/>
                      <w:szCs w:val="21"/>
                    </w:rPr>
                    <w:t>/</w:t>
                  </w:r>
                </w:p>
              </w:tc>
              <w:tc>
                <w:tcPr>
                  <w:tcW w:w="1333" w:type="dxa"/>
                  <w:vAlign w:val="center"/>
                </w:tcPr>
                <w:p>
                  <w:pPr>
                    <w:adjustRightInd w:val="0"/>
                    <w:snapToGrid w:val="0"/>
                    <w:jc w:val="center"/>
                    <w:rPr>
                      <w:rFonts w:hint="default" w:eastAsia="宋体"/>
                      <w:color w:val="auto"/>
                      <w:szCs w:val="21"/>
                      <w:highlight w:val="yellow"/>
                      <w:lang w:val="en-US" w:eastAsia="zh-CN"/>
                    </w:rPr>
                  </w:pPr>
                  <w:r>
                    <w:rPr>
                      <w:rFonts w:hint="eastAsia"/>
                      <w:color w:val="auto"/>
                      <w:szCs w:val="21"/>
                      <w:lang w:val="en-US" w:eastAsia="zh-CN"/>
                    </w:rPr>
                    <w:t>15</w:t>
                  </w:r>
                </w:p>
              </w:tc>
              <w:tc>
                <w:tcPr>
                  <w:tcW w:w="3228" w:type="dxa"/>
                  <w:vAlign w:val="center"/>
                </w:tcPr>
                <w:p>
                  <w:pPr>
                    <w:adjustRightInd w:val="0"/>
                    <w:snapToGrid w:val="0"/>
                    <w:jc w:val="center"/>
                    <w:rPr>
                      <w:color w:val="auto"/>
                      <w:szCs w:val="21"/>
                    </w:rPr>
                  </w:pPr>
                  <w:r>
                    <w:rPr>
                      <w:color w:val="auto"/>
                      <w:szCs w:val="21"/>
                    </w:rPr>
                    <w:t>减缓施工粉尘率在70%以上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70" w:type="dxa"/>
                  <w:vMerge w:val="restart"/>
                  <w:vAlign w:val="center"/>
                </w:tcPr>
                <w:p>
                  <w:pPr>
                    <w:widowControl/>
                    <w:adjustRightInd w:val="0"/>
                    <w:snapToGrid w:val="0"/>
                    <w:jc w:val="center"/>
                    <w:rPr>
                      <w:color w:val="auto"/>
                      <w:szCs w:val="21"/>
                    </w:rPr>
                  </w:pPr>
                  <w:r>
                    <w:rPr>
                      <w:color w:val="auto"/>
                      <w:szCs w:val="21"/>
                    </w:rPr>
                    <w:t>生态</w:t>
                  </w:r>
                </w:p>
              </w:tc>
              <w:tc>
                <w:tcPr>
                  <w:tcW w:w="1610" w:type="dxa"/>
                  <w:vAlign w:val="center"/>
                </w:tcPr>
                <w:p>
                  <w:pPr>
                    <w:adjustRightInd w:val="0"/>
                    <w:snapToGrid w:val="0"/>
                    <w:jc w:val="center"/>
                    <w:rPr>
                      <w:color w:val="auto"/>
                      <w:szCs w:val="21"/>
                    </w:rPr>
                  </w:pPr>
                  <w:r>
                    <w:rPr>
                      <w:color w:val="auto"/>
                      <w:kern w:val="0"/>
                      <w:szCs w:val="21"/>
                    </w:rPr>
                    <w:t>绿化工程</w:t>
                  </w:r>
                </w:p>
              </w:tc>
              <w:tc>
                <w:tcPr>
                  <w:tcW w:w="681" w:type="dxa"/>
                  <w:vAlign w:val="center"/>
                </w:tcPr>
                <w:p>
                  <w:pPr>
                    <w:adjustRightInd w:val="0"/>
                    <w:snapToGrid w:val="0"/>
                    <w:jc w:val="center"/>
                    <w:rPr>
                      <w:color w:val="auto"/>
                      <w:kern w:val="0"/>
                      <w:szCs w:val="21"/>
                    </w:rPr>
                  </w:pPr>
                  <w:r>
                    <w:rPr>
                      <w:color w:val="auto"/>
                      <w:kern w:val="0"/>
                      <w:szCs w:val="21"/>
                    </w:rPr>
                    <w:t>/</w:t>
                  </w:r>
                </w:p>
              </w:tc>
              <w:tc>
                <w:tcPr>
                  <w:tcW w:w="727" w:type="dxa"/>
                  <w:vAlign w:val="center"/>
                </w:tcPr>
                <w:p>
                  <w:pPr>
                    <w:adjustRightInd w:val="0"/>
                    <w:snapToGrid w:val="0"/>
                    <w:jc w:val="center"/>
                    <w:rPr>
                      <w:color w:val="auto"/>
                      <w:kern w:val="0"/>
                      <w:szCs w:val="21"/>
                    </w:rPr>
                  </w:pPr>
                  <w:r>
                    <w:rPr>
                      <w:color w:val="auto"/>
                      <w:kern w:val="0"/>
                      <w:szCs w:val="21"/>
                    </w:rPr>
                    <w:t>/</w:t>
                  </w:r>
                </w:p>
              </w:tc>
              <w:tc>
                <w:tcPr>
                  <w:tcW w:w="1333" w:type="dxa"/>
                  <w:vAlign w:val="center"/>
                </w:tcPr>
                <w:p>
                  <w:pPr>
                    <w:adjustRightInd w:val="0"/>
                    <w:snapToGrid w:val="0"/>
                    <w:jc w:val="center"/>
                    <w:rPr>
                      <w:rFonts w:hint="eastAsia" w:eastAsia="宋体"/>
                      <w:color w:val="auto"/>
                      <w:szCs w:val="21"/>
                      <w:highlight w:val="yellow"/>
                      <w:lang w:eastAsia="zh-CN"/>
                    </w:rPr>
                  </w:pPr>
                  <w:r>
                    <w:rPr>
                      <w:rFonts w:hint="eastAsia"/>
                      <w:color w:val="auto"/>
                      <w:kern w:val="0"/>
                      <w:szCs w:val="21"/>
                      <w:lang w:val="en-US" w:eastAsia="zh-CN"/>
                    </w:rPr>
                    <w:t>5</w:t>
                  </w:r>
                </w:p>
              </w:tc>
              <w:tc>
                <w:tcPr>
                  <w:tcW w:w="3228" w:type="dxa"/>
                  <w:vAlign w:val="center"/>
                </w:tcPr>
                <w:p>
                  <w:pPr>
                    <w:adjustRightInd w:val="0"/>
                    <w:snapToGrid w:val="0"/>
                    <w:jc w:val="center"/>
                    <w:rPr>
                      <w:color w:val="auto"/>
                      <w:szCs w:val="21"/>
                    </w:rPr>
                  </w:pPr>
                  <w:r>
                    <w:rPr>
                      <w:color w:val="auto"/>
                      <w:kern w:val="0"/>
                      <w:szCs w:val="21"/>
                    </w:rPr>
                    <w:t>防风固土、美化</w:t>
                  </w:r>
                  <w:r>
                    <w:rPr>
                      <w:rFonts w:hint="eastAsia"/>
                      <w:color w:val="auto"/>
                      <w:kern w:val="0"/>
                      <w:szCs w:val="21"/>
                      <w:lang w:eastAsia="zh-CN"/>
                    </w:rPr>
                    <w:t>环境</w:t>
                  </w:r>
                  <w:r>
                    <w:rPr>
                      <w:color w:val="auto"/>
                      <w:kern w:val="0"/>
                      <w:szCs w:val="21"/>
                    </w:rPr>
                    <w:t>、</w:t>
                  </w:r>
                  <w:r>
                    <w:rPr>
                      <w:rFonts w:hint="eastAsia"/>
                      <w:color w:val="auto"/>
                      <w:kern w:val="0"/>
                      <w:szCs w:val="21"/>
                      <w:lang w:eastAsia="zh-CN"/>
                    </w:rPr>
                    <w:t>同时</w:t>
                  </w:r>
                  <w:r>
                    <w:rPr>
                      <w:color w:val="auto"/>
                      <w:kern w:val="0"/>
                      <w:szCs w:val="21"/>
                    </w:rPr>
                    <w:t>改善生态环境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70" w:type="dxa"/>
                  <w:vMerge w:val="continue"/>
                  <w:vAlign w:val="center"/>
                </w:tcPr>
                <w:p>
                  <w:pPr>
                    <w:widowControl/>
                    <w:adjustRightInd w:val="0"/>
                    <w:snapToGrid w:val="0"/>
                    <w:jc w:val="center"/>
                    <w:rPr>
                      <w:color w:val="auto"/>
                      <w:szCs w:val="21"/>
                    </w:rPr>
                  </w:pPr>
                </w:p>
              </w:tc>
              <w:tc>
                <w:tcPr>
                  <w:tcW w:w="1610" w:type="dxa"/>
                  <w:vAlign w:val="center"/>
                </w:tcPr>
                <w:p>
                  <w:pPr>
                    <w:adjustRightInd w:val="0"/>
                    <w:snapToGrid w:val="0"/>
                    <w:jc w:val="center"/>
                    <w:rPr>
                      <w:color w:val="auto"/>
                      <w:kern w:val="0"/>
                      <w:szCs w:val="21"/>
                    </w:rPr>
                  </w:pPr>
                  <w:r>
                    <w:rPr>
                      <w:color w:val="auto"/>
                      <w:szCs w:val="21"/>
                    </w:rPr>
                    <w:t>临时用地生态恢复</w:t>
                  </w:r>
                </w:p>
              </w:tc>
              <w:tc>
                <w:tcPr>
                  <w:tcW w:w="681" w:type="dxa"/>
                  <w:vAlign w:val="center"/>
                </w:tcPr>
                <w:p>
                  <w:pPr>
                    <w:adjustRightInd w:val="0"/>
                    <w:snapToGrid w:val="0"/>
                    <w:jc w:val="center"/>
                    <w:rPr>
                      <w:color w:val="auto"/>
                      <w:szCs w:val="21"/>
                    </w:rPr>
                  </w:pPr>
                  <w:r>
                    <w:rPr>
                      <w:color w:val="auto"/>
                      <w:szCs w:val="21"/>
                    </w:rPr>
                    <w:t>/</w:t>
                  </w:r>
                </w:p>
              </w:tc>
              <w:tc>
                <w:tcPr>
                  <w:tcW w:w="727" w:type="dxa"/>
                  <w:vAlign w:val="center"/>
                </w:tcPr>
                <w:p>
                  <w:pPr>
                    <w:adjustRightInd w:val="0"/>
                    <w:snapToGrid w:val="0"/>
                    <w:jc w:val="center"/>
                    <w:rPr>
                      <w:color w:val="auto"/>
                      <w:szCs w:val="21"/>
                    </w:rPr>
                  </w:pPr>
                  <w:r>
                    <w:rPr>
                      <w:color w:val="auto"/>
                      <w:szCs w:val="21"/>
                    </w:rPr>
                    <w:t>/</w:t>
                  </w:r>
                </w:p>
              </w:tc>
              <w:tc>
                <w:tcPr>
                  <w:tcW w:w="1333" w:type="dxa"/>
                  <w:vAlign w:val="center"/>
                </w:tcPr>
                <w:p>
                  <w:pPr>
                    <w:adjustRightInd w:val="0"/>
                    <w:snapToGrid w:val="0"/>
                    <w:jc w:val="center"/>
                    <w:rPr>
                      <w:color w:val="auto"/>
                      <w:szCs w:val="21"/>
                    </w:rPr>
                  </w:pPr>
                  <w:r>
                    <w:rPr>
                      <w:rFonts w:hint="eastAsia"/>
                      <w:color w:val="auto"/>
                      <w:szCs w:val="21"/>
                      <w:lang w:val="en-US" w:eastAsia="zh-CN"/>
                    </w:rPr>
                    <w:t>2</w:t>
                  </w:r>
                  <w:r>
                    <w:rPr>
                      <w:color w:val="auto"/>
                      <w:szCs w:val="21"/>
                    </w:rPr>
                    <w:t>0</w:t>
                  </w:r>
                </w:p>
              </w:tc>
              <w:tc>
                <w:tcPr>
                  <w:tcW w:w="3228" w:type="dxa"/>
                  <w:vAlign w:val="center"/>
                </w:tcPr>
                <w:p>
                  <w:pPr>
                    <w:adjustRightInd w:val="0"/>
                    <w:snapToGrid w:val="0"/>
                    <w:jc w:val="center"/>
                    <w:rPr>
                      <w:color w:val="auto"/>
                      <w:szCs w:val="21"/>
                    </w:rPr>
                  </w:pPr>
                  <w:r>
                    <w:rPr>
                      <w:color w:val="auto"/>
                      <w:szCs w:val="21"/>
                    </w:rPr>
                    <w:t>恢复耕地，减少工程导致的耕地的损失生态恢复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70" w:type="dxa"/>
                  <w:vAlign w:val="center"/>
                </w:tcPr>
                <w:p>
                  <w:pPr>
                    <w:widowControl/>
                    <w:adjustRightInd w:val="0"/>
                    <w:snapToGrid w:val="0"/>
                    <w:jc w:val="center"/>
                    <w:rPr>
                      <w:color w:val="auto"/>
                      <w:szCs w:val="21"/>
                    </w:rPr>
                  </w:pPr>
                  <w:r>
                    <w:rPr>
                      <w:color w:val="auto"/>
                      <w:szCs w:val="21"/>
                    </w:rPr>
                    <w:t>噪声</w:t>
                  </w:r>
                </w:p>
              </w:tc>
              <w:tc>
                <w:tcPr>
                  <w:tcW w:w="1610" w:type="dxa"/>
                  <w:vAlign w:val="center"/>
                </w:tcPr>
                <w:p>
                  <w:pPr>
                    <w:widowControl/>
                    <w:adjustRightInd w:val="0"/>
                    <w:snapToGrid w:val="0"/>
                    <w:jc w:val="center"/>
                    <w:rPr>
                      <w:color w:val="auto"/>
                      <w:szCs w:val="21"/>
                    </w:rPr>
                  </w:pPr>
                  <w:r>
                    <w:rPr>
                      <w:rFonts w:hint="eastAsia"/>
                      <w:color w:val="auto"/>
                      <w:szCs w:val="21"/>
                      <w:lang w:val="en-US" w:eastAsia="zh-CN"/>
                    </w:rPr>
                    <w:t>围挡</w:t>
                  </w:r>
                  <w:r>
                    <w:rPr>
                      <w:color w:val="auto"/>
                      <w:kern w:val="0"/>
                      <w:szCs w:val="21"/>
                    </w:rPr>
                    <w:t>设施</w:t>
                  </w:r>
                  <w:r>
                    <w:rPr>
                      <w:rFonts w:hint="eastAsia"/>
                      <w:color w:val="auto"/>
                      <w:szCs w:val="21"/>
                      <w:lang w:eastAsia="zh-CN"/>
                    </w:rPr>
                    <w:t>（与废气围挡公用）</w:t>
                  </w:r>
                </w:p>
              </w:tc>
              <w:tc>
                <w:tcPr>
                  <w:tcW w:w="681" w:type="dxa"/>
                  <w:vAlign w:val="center"/>
                </w:tcPr>
                <w:p>
                  <w:pPr>
                    <w:widowControl/>
                    <w:adjustRightInd w:val="0"/>
                    <w:snapToGrid w:val="0"/>
                    <w:jc w:val="center"/>
                    <w:rPr>
                      <w:color w:val="auto"/>
                      <w:szCs w:val="21"/>
                    </w:rPr>
                  </w:pPr>
                  <w:r>
                    <w:rPr>
                      <w:color w:val="auto"/>
                      <w:szCs w:val="21"/>
                    </w:rPr>
                    <w:t>/</w:t>
                  </w:r>
                </w:p>
              </w:tc>
              <w:tc>
                <w:tcPr>
                  <w:tcW w:w="727" w:type="dxa"/>
                  <w:vAlign w:val="center"/>
                </w:tcPr>
                <w:p>
                  <w:pPr>
                    <w:widowControl/>
                    <w:adjustRightInd w:val="0"/>
                    <w:snapToGrid w:val="0"/>
                    <w:jc w:val="center"/>
                    <w:rPr>
                      <w:color w:val="auto"/>
                      <w:szCs w:val="21"/>
                    </w:rPr>
                  </w:pPr>
                  <w:r>
                    <w:rPr>
                      <w:color w:val="auto"/>
                      <w:szCs w:val="21"/>
                    </w:rPr>
                    <w:t>/</w:t>
                  </w:r>
                </w:p>
              </w:tc>
              <w:tc>
                <w:tcPr>
                  <w:tcW w:w="1333" w:type="dxa"/>
                  <w:vAlign w:val="center"/>
                </w:tcPr>
                <w:p>
                  <w:pPr>
                    <w:widowControl/>
                    <w:adjustRightInd w:val="0"/>
                    <w:snapToGrid w:val="0"/>
                    <w:jc w:val="center"/>
                    <w:rPr>
                      <w:rFonts w:hint="default" w:eastAsia="宋体"/>
                      <w:color w:val="auto"/>
                      <w:szCs w:val="21"/>
                      <w:lang w:val="en-US" w:eastAsia="zh-CN"/>
                    </w:rPr>
                  </w:pPr>
                  <w:r>
                    <w:rPr>
                      <w:rFonts w:hint="eastAsia"/>
                      <w:color w:val="auto"/>
                      <w:szCs w:val="21"/>
                      <w:lang w:val="en-US" w:eastAsia="zh-CN"/>
                    </w:rPr>
                    <w:t>0</w:t>
                  </w:r>
                </w:p>
              </w:tc>
              <w:tc>
                <w:tcPr>
                  <w:tcW w:w="3228" w:type="dxa"/>
                  <w:vAlign w:val="center"/>
                </w:tcPr>
                <w:p>
                  <w:pPr>
                    <w:widowControl/>
                    <w:adjustRightInd w:val="0"/>
                    <w:snapToGrid w:val="0"/>
                    <w:jc w:val="center"/>
                    <w:rPr>
                      <w:rFonts w:hint="eastAsia" w:eastAsia="宋体"/>
                      <w:color w:val="auto"/>
                      <w:szCs w:val="21"/>
                      <w:lang w:eastAsia="zh-CN"/>
                    </w:rPr>
                  </w:pPr>
                  <w:r>
                    <w:rPr>
                      <w:rFonts w:hint="eastAsia"/>
                      <w:color w:val="auto"/>
                      <w:szCs w:val="21"/>
                      <w:lang w:eastAsia="zh-CN"/>
                    </w:rPr>
                    <w:t>场界达标排放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0" w:type="dxa"/>
                  <w:gridSpan w:val="2"/>
                  <w:vAlign w:val="center"/>
                </w:tcPr>
                <w:p>
                  <w:pPr>
                    <w:adjustRightInd w:val="0"/>
                    <w:snapToGrid w:val="0"/>
                    <w:jc w:val="center"/>
                    <w:rPr>
                      <w:color w:val="auto"/>
                      <w:szCs w:val="21"/>
                    </w:rPr>
                  </w:pPr>
                  <w:r>
                    <w:rPr>
                      <w:color w:val="auto"/>
                      <w:szCs w:val="21"/>
                    </w:rPr>
                    <w:t>合 计</w:t>
                  </w:r>
                </w:p>
              </w:tc>
              <w:tc>
                <w:tcPr>
                  <w:tcW w:w="681" w:type="dxa"/>
                  <w:vAlign w:val="center"/>
                </w:tcPr>
                <w:p>
                  <w:pPr>
                    <w:adjustRightInd w:val="0"/>
                    <w:snapToGrid w:val="0"/>
                    <w:jc w:val="center"/>
                    <w:rPr>
                      <w:color w:val="auto"/>
                      <w:szCs w:val="21"/>
                      <w:highlight w:val="yellow"/>
                    </w:rPr>
                  </w:pPr>
                  <w:r>
                    <w:rPr>
                      <w:color w:val="auto"/>
                      <w:szCs w:val="21"/>
                    </w:rPr>
                    <w:t>--</w:t>
                  </w:r>
                </w:p>
              </w:tc>
              <w:tc>
                <w:tcPr>
                  <w:tcW w:w="727" w:type="dxa"/>
                  <w:vAlign w:val="center"/>
                </w:tcPr>
                <w:p>
                  <w:pPr>
                    <w:adjustRightInd w:val="0"/>
                    <w:snapToGrid w:val="0"/>
                    <w:jc w:val="center"/>
                    <w:rPr>
                      <w:color w:val="auto"/>
                      <w:szCs w:val="21"/>
                    </w:rPr>
                  </w:pPr>
                </w:p>
              </w:tc>
              <w:tc>
                <w:tcPr>
                  <w:tcW w:w="1333" w:type="dxa"/>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65</w:t>
                  </w:r>
                </w:p>
              </w:tc>
              <w:tc>
                <w:tcPr>
                  <w:tcW w:w="3228" w:type="dxa"/>
                  <w:vAlign w:val="center"/>
                </w:tcPr>
                <w:p>
                  <w:pPr>
                    <w:adjustRightInd w:val="0"/>
                    <w:snapToGrid w:val="0"/>
                    <w:jc w:val="center"/>
                    <w:rPr>
                      <w:color w:val="auto"/>
                      <w:szCs w:val="21"/>
                    </w:rPr>
                  </w:pPr>
                  <w:r>
                    <w:rPr>
                      <w:color w:val="auto"/>
                      <w:szCs w:val="21"/>
                    </w:rPr>
                    <w:t>--</w:t>
                  </w:r>
                </w:p>
              </w:tc>
            </w:tr>
          </w:tbl>
          <w:p>
            <w:pPr>
              <w:adjustRightInd w:val="0"/>
              <w:snapToGrid w:val="0"/>
              <w:rPr>
                <w:bCs/>
                <w:color w:val="auto"/>
                <w:spacing w:val="10"/>
                <w:szCs w:val="21"/>
              </w:rPr>
            </w:pPr>
          </w:p>
        </w:tc>
      </w:tr>
    </w:tbl>
    <w:p>
      <w:pPr>
        <w:rPr>
          <w:color w:val="auto"/>
        </w:rPr>
        <w:sectPr>
          <w:pgSz w:w="11907" w:h="16840"/>
          <w:pgMar w:top="1440" w:right="1797" w:bottom="1440" w:left="1797" w:header="851" w:footer="1077" w:gutter="0"/>
          <w:pgBorders>
            <w:top w:val="none" w:sz="0" w:space="0"/>
            <w:left w:val="none" w:sz="0" w:space="0"/>
            <w:bottom w:val="none" w:sz="0" w:space="0"/>
            <w:right w:val="none" w:sz="0" w:space="0"/>
          </w:pgBorders>
          <w:pgNumType w:fmt="decimal"/>
          <w:cols w:space="425" w:num="1"/>
          <w:docGrid w:linePitch="312" w:charSpace="0"/>
        </w:sectPr>
      </w:pPr>
    </w:p>
    <w:p>
      <w:pPr>
        <w:pStyle w:val="15"/>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六、生态环境保护措施监督检查清单</w:t>
      </w:r>
    </w:p>
    <w:tbl>
      <w:tblPr>
        <w:tblStyle w:val="1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69"/>
        <w:gridCol w:w="1648"/>
        <w:gridCol w:w="1511"/>
        <w:gridCol w:w="14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4" w:type="pct"/>
            <w:vMerge w:val="restart"/>
            <w:tcBorders>
              <w:tl2br w:val="single" w:color="auto" w:sz="4" w:space="0"/>
            </w:tcBorders>
          </w:tcPr>
          <w:p>
            <w:pPr>
              <w:pStyle w:val="15"/>
              <w:adjustRightInd w:val="0"/>
              <w:snapToGrid w:val="0"/>
              <w:spacing w:before="72" w:beforeLines="30" w:beforeAutospacing="0" w:after="0" w:afterAutospacing="0"/>
              <w:jc w:val="center"/>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 xml:space="preserve">       </w:t>
            </w:r>
          </w:p>
          <w:p>
            <w:pPr>
              <w:pStyle w:val="15"/>
              <w:adjustRightInd w:val="0"/>
              <w:snapToGrid w:val="0"/>
              <w:spacing w:before="72" w:beforeLines="30" w:beforeAutospacing="0" w:after="0" w:afterAutospacing="0"/>
              <w:jc w:val="center"/>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 xml:space="preserve">            内容</w:t>
            </w:r>
          </w:p>
          <w:p>
            <w:pPr>
              <w:pStyle w:val="15"/>
              <w:adjustRightInd w:val="0"/>
              <w:snapToGrid w:val="0"/>
              <w:spacing w:before="0" w:beforeAutospacing="0" w:after="0" w:afterAutospacing="0" w:line="14" w:lineRule="auto"/>
              <w:outlineLvl w:val="0"/>
              <w:rPr>
                <w:rFonts w:ascii="Times New Roman" w:hAnsi="Times New Roman" w:eastAsia="黑体"/>
                <w:color w:val="auto"/>
                <w:kern w:val="2"/>
                <w:sz w:val="135"/>
                <w:szCs w:val="21"/>
              </w:rPr>
            </w:pPr>
            <w:r>
              <w:rPr>
                <w:rFonts w:ascii="Times New Roman" w:hAnsi="Times New Roman" w:eastAsia="黑体"/>
                <w:color w:val="auto"/>
                <w:kern w:val="2"/>
                <w:sz w:val="21"/>
                <w:szCs w:val="21"/>
              </w:rPr>
              <w:t xml:space="preserve"> </w:t>
            </w:r>
            <w:r>
              <w:rPr>
                <w:rFonts w:ascii="Times New Roman" w:hAnsi="Times New Roman" w:eastAsia="黑体"/>
                <w:color w:val="auto"/>
                <w:kern w:val="2"/>
                <w:sz w:val="135"/>
                <w:szCs w:val="21"/>
              </w:rPr>
              <w:t xml:space="preserve"> </w:t>
            </w:r>
          </w:p>
          <w:p>
            <w:pPr>
              <w:pStyle w:val="15"/>
              <w:adjustRightInd w:val="0"/>
              <w:snapToGrid w:val="0"/>
              <w:spacing w:before="0" w:beforeAutospacing="0" w:after="0" w:afterAutospacing="0"/>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要素</w:t>
            </w:r>
          </w:p>
        </w:tc>
        <w:tc>
          <w:tcPr>
            <w:tcW w:w="2122" w:type="pct"/>
            <w:gridSpan w:val="2"/>
            <w:vAlign w:val="center"/>
          </w:tcPr>
          <w:p>
            <w:pPr>
              <w:pStyle w:val="15"/>
              <w:adjustRightInd w:val="0"/>
              <w:snapToGrid w:val="0"/>
              <w:spacing w:before="0" w:beforeAutospacing="0" w:after="0" w:afterAutospacing="0"/>
              <w:jc w:val="center"/>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施工期</w:t>
            </w:r>
          </w:p>
        </w:tc>
        <w:tc>
          <w:tcPr>
            <w:tcW w:w="1733" w:type="pct"/>
            <w:gridSpan w:val="2"/>
            <w:vAlign w:val="center"/>
          </w:tcPr>
          <w:p>
            <w:pPr>
              <w:pStyle w:val="15"/>
              <w:adjustRightInd w:val="0"/>
              <w:snapToGrid w:val="0"/>
              <w:spacing w:before="0" w:beforeAutospacing="0" w:after="0" w:afterAutospacing="0"/>
              <w:jc w:val="center"/>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4" w:type="pct"/>
            <w:vMerge w:val="continue"/>
          </w:tcPr>
          <w:p>
            <w:pPr>
              <w:pStyle w:val="15"/>
              <w:adjustRightInd w:val="0"/>
              <w:snapToGrid w:val="0"/>
              <w:spacing w:before="0" w:beforeAutospacing="0" w:after="0" w:afterAutospacing="0"/>
              <w:ind w:firstLine="840"/>
              <w:jc w:val="center"/>
              <w:outlineLvl w:val="0"/>
              <w:rPr>
                <w:rFonts w:ascii="Times New Roman" w:hAnsi="Times New Roman" w:eastAsia="黑体"/>
                <w:color w:val="auto"/>
                <w:kern w:val="2"/>
                <w:sz w:val="21"/>
                <w:szCs w:val="21"/>
              </w:rPr>
            </w:pPr>
          </w:p>
        </w:tc>
        <w:tc>
          <w:tcPr>
            <w:tcW w:w="1155" w:type="pct"/>
            <w:vAlign w:val="center"/>
          </w:tcPr>
          <w:p>
            <w:pPr>
              <w:pStyle w:val="15"/>
              <w:adjustRightInd w:val="0"/>
              <w:snapToGrid w:val="0"/>
              <w:spacing w:before="0" w:beforeAutospacing="0" w:after="0" w:afterAutospacing="0"/>
              <w:jc w:val="center"/>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环境保护措施</w:t>
            </w:r>
          </w:p>
        </w:tc>
        <w:tc>
          <w:tcPr>
            <w:tcW w:w="966" w:type="pct"/>
            <w:vAlign w:val="center"/>
          </w:tcPr>
          <w:p>
            <w:pPr>
              <w:pStyle w:val="15"/>
              <w:adjustRightInd w:val="0"/>
              <w:snapToGrid w:val="0"/>
              <w:spacing w:before="0" w:beforeAutospacing="0" w:after="0" w:afterAutospacing="0"/>
              <w:jc w:val="center"/>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验收要求</w:t>
            </w:r>
          </w:p>
        </w:tc>
        <w:tc>
          <w:tcPr>
            <w:tcW w:w="886" w:type="pct"/>
            <w:vAlign w:val="center"/>
          </w:tcPr>
          <w:p>
            <w:pPr>
              <w:pStyle w:val="15"/>
              <w:adjustRightInd w:val="0"/>
              <w:snapToGrid w:val="0"/>
              <w:spacing w:before="0" w:beforeAutospacing="0" w:after="0" w:afterAutospacing="0"/>
              <w:jc w:val="center"/>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环境保护措施</w:t>
            </w:r>
          </w:p>
        </w:tc>
        <w:tc>
          <w:tcPr>
            <w:tcW w:w="846" w:type="pct"/>
            <w:vAlign w:val="center"/>
          </w:tcPr>
          <w:p>
            <w:pPr>
              <w:pStyle w:val="15"/>
              <w:adjustRightInd w:val="0"/>
              <w:snapToGrid w:val="0"/>
              <w:spacing w:before="0" w:beforeAutospacing="0" w:after="0" w:afterAutospacing="0"/>
              <w:jc w:val="center"/>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144" w:type="pct"/>
            <w:vMerge w:val="restart"/>
            <w:vAlign w:val="center"/>
          </w:tcPr>
          <w:p>
            <w:pPr>
              <w:adjustRightInd w:val="0"/>
              <w:snapToGrid w:val="0"/>
              <w:jc w:val="center"/>
              <w:rPr>
                <w:color w:val="auto"/>
                <w:sz w:val="21"/>
                <w:szCs w:val="21"/>
              </w:rPr>
            </w:pPr>
            <w:r>
              <w:rPr>
                <w:color w:val="auto"/>
                <w:sz w:val="21"/>
                <w:szCs w:val="21"/>
              </w:rPr>
              <w:t>陆生生态</w:t>
            </w:r>
          </w:p>
        </w:tc>
        <w:tc>
          <w:tcPr>
            <w:tcW w:w="1155" w:type="pct"/>
            <w:vAlign w:val="center"/>
          </w:tcPr>
          <w:p>
            <w:pPr>
              <w:keepNext w:val="0"/>
              <w:keepLines w:val="0"/>
              <w:widowControl/>
              <w:suppressLineNumbers w:val="0"/>
              <w:jc w:val="left"/>
              <w:rPr>
                <w:rFonts w:ascii="宋体" w:cs="宋体"/>
                <w:color w:val="auto"/>
                <w:kern w:val="0"/>
                <w:sz w:val="21"/>
                <w:szCs w:val="21"/>
              </w:rPr>
            </w:pPr>
            <w:r>
              <w:rPr>
                <w:rFonts w:hint="eastAsia" w:ascii="宋体" w:hAnsi="宋体" w:eastAsia="宋体" w:cs="宋体"/>
                <w:color w:val="auto"/>
                <w:kern w:val="0"/>
                <w:sz w:val="21"/>
                <w:szCs w:val="21"/>
                <w:lang w:val="en-US" w:eastAsia="zh-CN" w:bidi="ar"/>
              </w:rPr>
              <w:t>加强施工期环境管理，将工程引起的难以避免的植被破坏减少到最低限度</w:t>
            </w:r>
            <w:r>
              <w:rPr>
                <w:rFonts w:hint="eastAsia" w:ascii="宋体" w:hAnsi="宋体" w:cs="宋体"/>
                <w:color w:val="auto"/>
                <w:kern w:val="0"/>
                <w:sz w:val="21"/>
                <w:szCs w:val="21"/>
                <w:lang w:val="en-US" w:eastAsia="zh-CN" w:bidi="ar"/>
              </w:rPr>
              <w:t>；</w:t>
            </w:r>
          </w:p>
        </w:tc>
        <w:tc>
          <w:tcPr>
            <w:tcW w:w="966" w:type="pct"/>
            <w:vMerge w:val="restart"/>
            <w:vAlign w:val="center"/>
          </w:tcPr>
          <w:p>
            <w:pPr>
              <w:autoSpaceDE w:val="0"/>
              <w:autoSpaceDN w:val="0"/>
              <w:adjustRightInd w:val="0"/>
              <w:jc w:val="center"/>
              <w:rPr>
                <w:color w:val="auto"/>
                <w:szCs w:val="21"/>
              </w:rPr>
            </w:pPr>
            <w:r>
              <w:rPr>
                <w:rFonts w:hint="eastAsia" w:ascii="宋体" w:cs="宋体"/>
                <w:color w:val="auto"/>
                <w:kern w:val="0"/>
                <w:szCs w:val="21"/>
              </w:rPr>
              <w:t>破坏生态及时得到恢复</w:t>
            </w:r>
          </w:p>
        </w:tc>
        <w:tc>
          <w:tcPr>
            <w:tcW w:w="886" w:type="pct"/>
            <w:vMerge w:val="restart"/>
            <w:vAlign w:val="center"/>
          </w:tcPr>
          <w:p>
            <w:pPr>
              <w:autoSpaceDE w:val="0"/>
              <w:autoSpaceDN w:val="0"/>
              <w:adjustRightInd w:val="0"/>
              <w:jc w:val="center"/>
              <w:rPr>
                <w:rFonts w:ascii="宋体" w:cs="宋体"/>
                <w:color w:val="auto"/>
                <w:kern w:val="0"/>
                <w:szCs w:val="21"/>
              </w:rPr>
            </w:pPr>
            <w:r>
              <w:rPr>
                <w:rFonts w:hint="eastAsia" w:ascii="宋体" w:cs="宋体"/>
                <w:color w:val="auto"/>
                <w:kern w:val="0"/>
                <w:szCs w:val="21"/>
              </w:rPr>
              <w:t>加强绿化植被的管理和养护</w:t>
            </w:r>
          </w:p>
        </w:tc>
        <w:tc>
          <w:tcPr>
            <w:tcW w:w="846" w:type="pct"/>
            <w:vMerge w:val="restart"/>
            <w:vAlign w:val="center"/>
          </w:tcPr>
          <w:p>
            <w:pPr>
              <w:autoSpaceDE w:val="0"/>
              <w:autoSpaceDN w:val="0"/>
              <w:adjustRightInd w:val="0"/>
              <w:jc w:val="center"/>
              <w:rPr>
                <w:rFonts w:ascii="宋体" w:cs="宋体"/>
                <w:color w:val="auto"/>
                <w:kern w:val="0"/>
                <w:szCs w:val="21"/>
              </w:rPr>
            </w:pPr>
            <w:r>
              <w:rPr>
                <w:rFonts w:hint="eastAsia" w:ascii="宋体" w:cs="宋体"/>
                <w:color w:val="auto"/>
                <w:kern w:val="0"/>
                <w:szCs w:val="21"/>
              </w:rPr>
              <w:t>临时工程占地生态得到恢复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44" w:type="pct"/>
            <w:vMerge w:val="continue"/>
            <w:vAlign w:val="center"/>
          </w:tcPr>
          <w:p>
            <w:pPr>
              <w:adjustRightInd w:val="0"/>
              <w:snapToGrid w:val="0"/>
              <w:jc w:val="center"/>
              <w:rPr>
                <w:color w:val="auto"/>
                <w:sz w:val="21"/>
                <w:szCs w:val="21"/>
              </w:rPr>
            </w:pPr>
          </w:p>
        </w:tc>
        <w:tc>
          <w:tcPr>
            <w:tcW w:w="1155" w:type="pct"/>
            <w:vAlign w:val="center"/>
          </w:tcPr>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加强生态环境保护意识的教育，严禁施工人员随意砍伐树木</w:t>
            </w:r>
            <w:r>
              <w:rPr>
                <w:rFonts w:hint="eastAsia" w:ascii="宋体" w:hAnsi="宋体" w:cs="宋体"/>
                <w:color w:val="auto"/>
                <w:kern w:val="0"/>
                <w:sz w:val="21"/>
                <w:szCs w:val="21"/>
                <w:lang w:val="en-US" w:eastAsia="zh-CN" w:bidi="ar"/>
              </w:rPr>
              <w:t>；</w:t>
            </w:r>
          </w:p>
        </w:tc>
        <w:tc>
          <w:tcPr>
            <w:tcW w:w="966" w:type="pct"/>
            <w:vMerge w:val="continue"/>
            <w:vAlign w:val="center"/>
          </w:tcPr>
          <w:p>
            <w:pPr>
              <w:autoSpaceDE w:val="0"/>
              <w:autoSpaceDN w:val="0"/>
              <w:adjustRightInd w:val="0"/>
              <w:jc w:val="center"/>
              <w:rPr>
                <w:rFonts w:hint="eastAsia" w:ascii="宋体" w:cs="宋体"/>
                <w:color w:val="auto"/>
                <w:kern w:val="0"/>
                <w:szCs w:val="21"/>
              </w:rPr>
            </w:pPr>
          </w:p>
        </w:tc>
        <w:tc>
          <w:tcPr>
            <w:tcW w:w="886" w:type="pct"/>
            <w:vMerge w:val="continue"/>
            <w:vAlign w:val="center"/>
          </w:tcPr>
          <w:p>
            <w:pPr>
              <w:autoSpaceDE w:val="0"/>
              <w:autoSpaceDN w:val="0"/>
              <w:adjustRightInd w:val="0"/>
              <w:jc w:val="center"/>
              <w:rPr>
                <w:rFonts w:hint="eastAsia" w:ascii="宋体" w:cs="宋体"/>
                <w:color w:val="auto"/>
                <w:kern w:val="0"/>
                <w:szCs w:val="21"/>
              </w:rPr>
            </w:pPr>
          </w:p>
        </w:tc>
        <w:tc>
          <w:tcPr>
            <w:tcW w:w="846" w:type="pct"/>
            <w:vMerge w:val="continue"/>
            <w:vAlign w:val="center"/>
          </w:tcPr>
          <w:p>
            <w:pPr>
              <w:autoSpaceDE w:val="0"/>
              <w:autoSpaceDN w:val="0"/>
              <w:adjustRightInd w:val="0"/>
              <w:jc w:val="center"/>
              <w:rPr>
                <w:rFonts w:hint="eastAsia" w:ascii="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44" w:type="pct"/>
            <w:vMerge w:val="continue"/>
            <w:vAlign w:val="center"/>
          </w:tcPr>
          <w:p>
            <w:pPr>
              <w:adjustRightInd w:val="0"/>
              <w:snapToGrid w:val="0"/>
              <w:jc w:val="center"/>
              <w:rPr>
                <w:color w:val="auto"/>
                <w:sz w:val="21"/>
                <w:szCs w:val="21"/>
              </w:rPr>
            </w:pPr>
          </w:p>
        </w:tc>
        <w:tc>
          <w:tcPr>
            <w:tcW w:w="1155" w:type="pct"/>
            <w:vAlign w:val="center"/>
          </w:tcPr>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植被恢复所用树种选择区域内的乡土物种。</w:t>
            </w:r>
          </w:p>
        </w:tc>
        <w:tc>
          <w:tcPr>
            <w:tcW w:w="966" w:type="pct"/>
            <w:vMerge w:val="continue"/>
            <w:vAlign w:val="center"/>
          </w:tcPr>
          <w:p>
            <w:pPr>
              <w:autoSpaceDE w:val="0"/>
              <w:autoSpaceDN w:val="0"/>
              <w:adjustRightInd w:val="0"/>
              <w:jc w:val="center"/>
              <w:rPr>
                <w:rFonts w:hint="eastAsia" w:ascii="宋体" w:cs="宋体"/>
                <w:color w:val="auto"/>
                <w:kern w:val="0"/>
                <w:szCs w:val="21"/>
              </w:rPr>
            </w:pPr>
          </w:p>
        </w:tc>
        <w:tc>
          <w:tcPr>
            <w:tcW w:w="886" w:type="pct"/>
            <w:vMerge w:val="continue"/>
            <w:vAlign w:val="center"/>
          </w:tcPr>
          <w:p>
            <w:pPr>
              <w:autoSpaceDE w:val="0"/>
              <w:autoSpaceDN w:val="0"/>
              <w:adjustRightInd w:val="0"/>
              <w:jc w:val="center"/>
              <w:rPr>
                <w:rFonts w:hint="eastAsia" w:ascii="宋体" w:cs="宋体"/>
                <w:color w:val="auto"/>
                <w:kern w:val="0"/>
                <w:szCs w:val="21"/>
              </w:rPr>
            </w:pPr>
          </w:p>
        </w:tc>
        <w:tc>
          <w:tcPr>
            <w:tcW w:w="846" w:type="pct"/>
            <w:vMerge w:val="continue"/>
            <w:vAlign w:val="center"/>
          </w:tcPr>
          <w:p>
            <w:pPr>
              <w:autoSpaceDE w:val="0"/>
              <w:autoSpaceDN w:val="0"/>
              <w:adjustRightInd w:val="0"/>
              <w:jc w:val="center"/>
              <w:rPr>
                <w:rFonts w:hint="eastAsia" w:ascii="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4" w:type="pct"/>
            <w:vAlign w:val="center"/>
          </w:tcPr>
          <w:p>
            <w:pPr>
              <w:adjustRightInd w:val="0"/>
              <w:snapToGrid w:val="0"/>
              <w:jc w:val="center"/>
              <w:rPr>
                <w:color w:val="auto"/>
                <w:szCs w:val="21"/>
              </w:rPr>
            </w:pPr>
            <w:r>
              <w:rPr>
                <w:color w:val="auto"/>
                <w:szCs w:val="21"/>
              </w:rPr>
              <w:t>水生生态</w:t>
            </w:r>
          </w:p>
        </w:tc>
        <w:tc>
          <w:tcPr>
            <w:tcW w:w="1155" w:type="pct"/>
            <w:vAlign w:val="center"/>
          </w:tcPr>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施工期将上游水源导流后，排除河道内积水，河道内现有水生生物将进入下游水体内，使现有水生生物的环境发生改变</w:t>
            </w:r>
            <w:r>
              <w:rPr>
                <w:rFonts w:hint="eastAsia" w:ascii="宋体" w:hAnsi="宋体" w:cs="宋体"/>
                <w:color w:val="auto"/>
                <w:kern w:val="0"/>
                <w:sz w:val="21"/>
                <w:szCs w:val="21"/>
                <w:lang w:val="en-US" w:eastAsia="zh-CN" w:bidi="ar"/>
              </w:rPr>
              <w:t>。</w:t>
            </w:r>
          </w:p>
        </w:tc>
        <w:tc>
          <w:tcPr>
            <w:tcW w:w="966" w:type="pct"/>
            <w:vAlign w:val="center"/>
          </w:tcPr>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恢复施工区水生生态环境</w:t>
            </w:r>
          </w:p>
        </w:tc>
        <w:tc>
          <w:tcPr>
            <w:tcW w:w="886" w:type="pct"/>
            <w:vAlign w:val="center"/>
          </w:tcPr>
          <w:p>
            <w:pPr>
              <w:adjustRightInd w:val="0"/>
              <w:snapToGrid w:val="0"/>
              <w:jc w:val="center"/>
              <w:rPr>
                <w:color w:val="auto"/>
                <w:szCs w:val="21"/>
              </w:rPr>
            </w:pPr>
            <w:r>
              <w:rPr>
                <w:rFonts w:hint="eastAsia"/>
                <w:color w:val="auto"/>
                <w:szCs w:val="21"/>
              </w:rPr>
              <w:t>/</w:t>
            </w:r>
          </w:p>
        </w:tc>
        <w:tc>
          <w:tcPr>
            <w:tcW w:w="846"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4" w:type="pct"/>
            <w:vMerge w:val="restart"/>
            <w:vAlign w:val="center"/>
          </w:tcPr>
          <w:p>
            <w:pPr>
              <w:adjustRightInd w:val="0"/>
              <w:snapToGrid w:val="0"/>
              <w:jc w:val="center"/>
              <w:rPr>
                <w:color w:val="auto"/>
                <w:szCs w:val="21"/>
              </w:rPr>
            </w:pPr>
            <w:r>
              <w:rPr>
                <w:color w:val="auto"/>
                <w:szCs w:val="21"/>
              </w:rPr>
              <w:t>地表水环境</w:t>
            </w:r>
          </w:p>
        </w:tc>
        <w:tc>
          <w:tcPr>
            <w:tcW w:w="1155" w:type="pct"/>
            <w:vAlign w:val="center"/>
          </w:tcPr>
          <w:p>
            <w:pPr>
              <w:keepNext w:val="0"/>
              <w:keepLines w:val="0"/>
              <w:widowControl/>
              <w:suppressLineNumbers w:val="0"/>
              <w:jc w:val="left"/>
              <w:rPr>
                <w:color w:val="auto"/>
                <w:szCs w:val="21"/>
              </w:rPr>
            </w:pPr>
            <w:r>
              <w:rPr>
                <w:rFonts w:hint="eastAsia" w:ascii="宋体" w:hAnsi="宋体" w:cs="宋体"/>
                <w:color w:val="auto"/>
                <w:kern w:val="0"/>
                <w:sz w:val="21"/>
                <w:szCs w:val="21"/>
                <w:lang w:val="en-US" w:eastAsia="zh-CN" w:bidi="ar"/>
              </w:rPr>
              <w:t>生产废水：</w:t>
            </w:r>
            <w:r>
              <w:rPr>
                <w:rFonts w:hint="eastAsia" w:ascii="宋体" w:hAnsi="宋体" w:eastAsia="宋体" w:cs="宋体"/>
                <w:color w:val="auto"/>
                <w:kern w:val="0"/>
                <w:sz w:val="21"/>
                <w:szCs w:val="21"/>
                <w:lang w:val="en-US" w:eastAsia="zh-CN" w:bidi="ar"/>
              </w:rPr>
              <w:t>沉淀处理后全部会用于施工和项目区洒水抑尘；</w:t>
            </w:r>
          </w:p>
        </w:tc>
        <w:tc>
          <w:tcPr>
            <w:tcW w:w="966" w:type="pct"/>
            <w:vMerge w:val="restart"/>
            <w:vAlign w:val="center"/>
          </w:tcPr>
          <w:p>
            <w:pPr>
              <w:autoSpaceDE w:val="0"/>
              <w:autoSpaceDN w:val="0"/>
              <w:adjustRightInd w:val="0"/>
              <w:jc w:val="center"/>
              <w:rPr>
                <w:rFonts w:ascii="宋体" w:cs="宋体"/>
                <w:color w:val="auto"/>
                <w:kern w:val="0"/>
                <w:szCs w:val="21"/>
              </w:rPr>
            </w:pPr>
            <w:r>
              <w:rPr>
                <w:rFonts w:hint="eastAsia" w:ascii="宋体" w:cs="宋体"/>
                <w:color w:val="auto"/>
                <w:kern w:val="0"/>
                <w:szCs w:val="21"/>
              </w:rPr>
              <w:t>废、污水不</w:t>
            </w:r>
          </w:p>
          <w:p>
            <w:pPr>
              <w:adjustRightInd w:val="0"/>
              <w:snapToGrid w:val="0"/>
              <w:jc w:val="center"/>
              <w:rPr>
                <w:color w:val="auto"/>
                <w:szCs w:val="21"/>
              </w:rPr>
            </w:pPr>
            <w:r>
              <w:rPr>
                <w:rFonts w:hint="eastAsia" w:ascii="宋体" w:cs="宋体"/>
                <w:color w:val="auto"/>
                <w:kern w:val="0"/>
                <w:szCs w:val="21"/>
              </w:rPr>
              <w:t>外排</w:t>
            </w:r>
          </w:p>
        </w:tc>
        <w:tc>
          <w:tcPr>
            <w:tcW w:w="886" w:type="pct"/>
            <w:vMerge w:val="restart"/>
            <w:vAlign w:val="center"/>
          </w:tcPr>
          <w:p>
            <w:pPr>
              <w:adjustRightInd w:val="0"/>
              <w:snapToGrid w:val="0"/>
              <w:jc w:val="center"/>
              <w:rPr>
                <w:rFonts w:ascii="Times New Roman" w:hAnsi="Times New Roman" w:eastAsia="宋体" w:cs="Times New Roman"/>
                <w:color w:val="auto"/>
                <w:kern w:val="2"/>
                <w:sz w:val="21"/>
                <w:szCs w:val="21"/>
                <w:lang w:val="en-US" w:eastAsia="zh-CN" w:bidi="ar-SA"/>
              </w:rPr>
            </w:pPr>
            <w:r>
              <w:rPr>
                <w:rFonts w:hint="eastAsia"/>
                <w:color w:val="auto"/>
                <w:szCs w:val="21"/>
              </w:rPr>
              <w:t>/</w:t>
            </w:r>
          </w:p>
        </w:tc>
        <w:tc>
          <w:tcPr>
            <w:tcW w:w="846" w:type="pct"/>
            <w:vMerge w:val="restart"/>
            <w:vAlign w:val="center"/>
          </w:tcPr>
          <w:p>
            <w:pPr>
              <w:adjustRightInd w:val="0"/>
              <w:snapToGrid w:val="0"/>
              <w:jc w:val="center"/>
              <w:rPr>
                <w:rFonts w:ascii="Times New Roman" w:hAnsi="Times New Roman" w:eastAsia="宋体" w:cs="Times New Roman"/>
                <w:color w:val="auto"/>
                <w:kern w:val="2"/>
                <w:sz w:val="21"/>
                <w:szCs w:val="21"/>
                <w:lang w:val="en-US" w:eastAsia="zh-CN" w:bidi="ar-SA"/>
              </w:rPr>
            </w:pPr>
            <w:r>
              <w:rPr>
                <w:rFonts w:hint="eastAsia"/>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144" w:type="pct"/>
            <w:vMerge w:val="continue"/>
            <w:vAlign w:val="center"/>
          </w:tcPr>
          <w:p>
            <w:pPr>
              <w:adjustRightInd w:val="0"/>
              <w:snapToGrid w:val="0"/>
              <w:jc w:val="center"/>
              <w:rPr>
                <w:color w:val="auto"/>
                <w:szCs w:val="21"/>
              </w:rPr>
            </w:pPr>
          </w:p>
        </w:tc>
        <w:tc>
          <w:tcPr>
            <w:tcW w:w="1155" w:type="pct"/>
            <w:vAlign w:val="center"/>
          </w:tcPr>
          <w:p>
            <w:pPr>
              <w:keepNext w:val="0"/>
              <w:keepLines w:val="0"/>
              <w:widowControl/>
              <w:suppressLineNumbers w:val="0"/>
              <w:jc w:val="left"/>
              <w:rPr>
                <w:color w:val="auto"/>
                <w:szCs w:val="21"/>
              </w:rPr>
            </w:pPr>
            <w:r>
              <w:rPr>
                <w:rFonts w:hint="eastAsia" w:ascii="宋体" w:hAnsi="宋体" w:cs="宋体"/>
                <w:color w:val="auto"/>
                <w:kern w:val="0"/>
                <w:sz w:val="21"/>
                <w:szCs w:val="21"/>
                <w:lang w:val="en-US" w:eastAsia="zh-CN" w:bidi="ar"/>
              </w:rPr>
              <w:t>生活污水：</w:t>
            </w:r>
            <w:r>
              <w:rPr>
                <w:rFonts w:hint="eastAsia" w:ascii="宋体" w:hAnsi="宋体" w:eastAsia="宋体" w:cs="宋体"/>
                <w:color w:val="auto"/>
                <w:kern w:val="0"/>
                <w:sz w:val="21"/>
                <w:szCs w:val="21"/>
                <w:lang w:val="en-US" w:eastAsia="zh-CN" w:bidi="ar"/>
              </w:rPr>
              <w:t>本项目不设施工营地，施工期员工生活污水</w:t>
            </w:r>
            <w:r>
              <w:rPr>
                <w:rFonts w:hint="eastAsia" w:ascii="宋体" w:hAnsi="宋体" w:cs="宋体"/>
                <w:color w:val="auto"/>
                <w:kern w:val="0"/>
                <w:sz w:val="21"/>
                <w:szCs w:val="21"/>
                <w:lang w:val="en-US" w:eastAsia="zh-CN" w:bidi="ar"/>
              </w:rPr>
              <w:t>，利用环保厕所收集</w:t>
            </w:r>
            <w:r>
              <w:rPr>
                <w:rFonts w:hint="eastAsia" w:ascii="宋体" w:hAnsi="宋体" w:eastAsia="宋体" w:cs="宋体"/>
                <w:color w:val="auto"/>
                <w:kern w:val="0"/>
                <w:sz w:val="21"/>
                <w:szCs w:val="21"/>
                <w:lang w:val="en-US" w:eastAsia="zh-CN" w:bidi="ar"/>
              </w:rPr>
              <w:t>，定期清掏，</w:t>
            </w:r>
            <w:r>
              <w:rPr>
                <w:rFonts w:hint="eastAsia" w:ascii="宋体" w:hAnsi="宋体" w:cs="宋体"/>
                <w:color w:val="auto"/>
                <w:kern w:val="0"/>
                <w:sz w:val="21"/>
                <w:szCs w:val="21"/>
                <w:lang w:val="en-US" w:eastAsia="zh-CN" w:bidi="ar"/>
              </w:rPr>
              <w:t>用于农肥；洗漱污水泼洒，用于降尘或绿化，物外排</w:t>
            </w:r>
          </w:p>
        </w:tc>
        <w:tc>
          <w:tcPr>
            <w:tcW w:w="966" w:type="pct"/>
            <w:vMerge w:val="continue"/>
            <w:vAlign w:val="center"/>
          </w:tcPr>
          <w:p>
            <w:pPr>
              <w:adjustRightInd w:val="0"/>
              <w:snapToGrid w:val="0"/>
              <w:jc w:val="center"/>
              <w:rPr>
                <w:rFonts w:hint="eastAsia" w:ascii="宋体" w:cs="宋体"/>
                <w:color w:val="auto"/>
                <w:kern w:val="0"/>
                <w:szCs w:val="21"/>
              </w:rPr>
            </w:pPr>
          </w:p>
        </w:tc>
        <w:tc>
          <w:tcPr>
            <w:tcW w:w="886" w:type="pct"/>
            <w:vMerge w:val="continue"/>
            <w:vAlign w:val="center"/>
          </w:tcPr>
          <w:p>
            <w:pPr>
              <w:adjustRightInd w:val="0"/>
              <w:snapToGrid w:val="0"/>
              <w:jc w:val="center"/>
              <w:rPr>
                <w:rFonts w:hint="eastAsia"/>
                <w:color w:val="auto"/>
                <w:szCs w:val="21"/>
              </w:rPr>
            </w:pPr>
          </w:p>
        </w:tc>
        <w:tc>
          <w:tcPr>
            <w:tcW w:w="846" w:type="pct"/>
            <w:vMerge w:val="continue"/>
            <w:vAlign w:val="center"/>
          </w:tcPr>
          <w:p>
            <w:pPr>
              <w:adjustRightInd w:val="0"/>
              <w:snapToGrid w:val="0"/>
              <w:jc w:val="center"/>
              <w:rPr>
                <w:rFonts w:hint="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4" w:type="pct"/>
            <w:vAlign w:val="center"/>
          </w:tcPr>
          <w:p>
            <w:pPr>
              <w:adjustRightInd w:val="0"/>
              <w:snapToGrid w:val="0"/>
              <w:jc w:val="center"/>
              <w:rPr>
                <w:color w:val="auto"/>
                <w:szCs w:val="21"/>
              </w:rPr>
            </w:pPr>
            <w:r>
              <w:rPr>
                <w:color w:val="auto"/>
                <w:szCs w:val="21"/>
              </w:rPr>
              <w:t>地下水及土壤环境</w:t>
            </w:r>
          </w:p>
        </w:tc>
        <w:tc>
          <w:tcPr>
            <w:tcW w:w="1155" w:type="pct"/>
            <w:vAlign w:val="center"/>
          </w:tcPr>
          <w:p>
            <w:pPr>
              <w:adjustRightInd w:val="0"/>
              <w:snapToGrid w:val="0"/>
              <w:jc w:val="center"/>
              <w:rPr>
                <w:color w:val="auto"/>
                <w:szCs w:val="21"/>
              </w:rPr>
            </w:pPr>
            <w:r>
              <w:rPr>
                <w:color w:val="auto"/>
                <w:szCs w:val="21"/>
              </w:rPr>
              <w:t>/</w:t>
            </w:r>
          </w:p>
        </w:tc>
        <w:tc>
          <w:tcPr>
            <w:tcW w:w="966" w:type="pct"/>
            <w:vAlign w:val="center"/>
          </w:tcPr>
          <w:p>
            <w:pPr>
              <w:adjustRightInd w:val="0"/>
              <w:snapToGrid w:val="0"/>
              <w:jc w:val="center"/>
              <w:rPr>
                <w:color w:val="auto"/>
                <w:szCs w:val="21"/>
              </w:rPr>
            </w:pPr>
            <w:r>
              <w:rPr>
                <w:color w:val="auto"/>
                <w:szCs w:val="21"/>
              </w:rPr>
              <w:t>/</w:t>
            </w:r>
          </w:p>
        </w:tc>
        <w:tc>
          <w:tcPr>
            <w:tcW w:w="886" w:type="pct"/>
            <w:vAlign w:val="center"/>
          </w:tcPr>
          <w:p>
            <w:pPr>
              <w:adjustRightInd w:val="0"/>
              <w:snapToGrid w:val="0"/>
              <w:jc w:val="center"/>
              <w:rPr>
                <w:color w:val="auto"/>
                <w:szCs w:val="21"/>
              </w:rPr>
            </w:pPr>
            <w:r>
              <w:rPr>
                <w:color w:val="auto"/>
                <w:szCs w:val="21"/>
              </w:rPr>
              <w:t>/</w:t>
            </w:r>
          </w:p>
        </w:tc>
        <w:tc>
          <w:tcPr>
            <w:tcW w:w="846" w:type="pct"/>
            <w:vAlign w:val="center"/>
          </w:tcPr>
          <w:p>
            <w:pPr>
              <w:adjustRightInd w:val="0"/>
              <w:snapToGrid w:val="0"/>
              <w:jc w:val="center"/>
              <w:rPr>
                <w:color w:val="auto"/>
                <w:szCs w:val="21"/>
              </w:rPr>
            </w:pPr>
            <w:r>
              <w:rPr>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144" w:type="pct"/>
            <w:vMerge w:val="restart"/>
            <w:vAlign w:val="center"/>
          </w:tcPr>
          <w:p>
            <w:pPr>
              <w:adjustRightInd w:val="0"/>
              <w:snapToGrid w:val="0"/>
              <w:jc w:val="center"/>
              <w:rPr>
                <w:color w:val="auto"/>
                <w:szCs w:val="21"/>
              </w:rPr>
            </w:pPr>
            <w:r>
              <w:rPr>
                <w:color w:val="auto"/>
                <w:szCs w:val="21"/>
              </w:rPr>
              <w:t>声环境</w:t>
            </w:r>
          </w:p>
        </w:tc>
        <w:tc>
          <w:tcPr>
            <w:tcW w:w="1155" w:type="pct"/>
            <w:vAlign w:val="center"/>
          </w:tcPr>
          <w:p>
            <w:pPr>
              <w:keepNext w:val="0"/>
              <w:keepLines w:val="0"/>
              <w:widowControl/>
              <w:suppressLineNumbers w:val="0"/>
              <w:jc w:val="left"/>
              <w:rPr>
                <w:rFonts w:ascii="宋体" w:cs="宋体"/>
                <w:color w:val="auto"/>
                <w:kern w:val="0"/>
                <w:sz w:val="21"/>
                <w:szCs w:val="21"/>
              </w:rPr>
            </w:pPr>
            <w:r>
              <w:rPr>
                <w:rFonts w:hint="eastAsia" w:ascii="宋体" w:hAnsi="宋体" w:eastAsia="宋体" w:cs="宋体"/>
                <w:color w:val="auto"/>
                <w:kern w:val="0"/>
                <w:sz w:val="21"/>
                <w:szCs w:val="21"/>
                <w:lang w:val="en-US" w:eastAsia="zh-CN" w:bidi="ar"/>
              </w:rPr>
              <w:t>合理安排施工作业时间，尽量避免高噪声设备同时施工，并且严禁在夜间和午休时间进行高噪声设备施工，以免造成扰民现象。</w:t>
            </w:r>
          </w:p>
        </w:tc>
        <w:tc>
          <w:tcPr>
            <w:tcW w:w="966" w:type="pct"/>
            <w:vMerge w:val="restart"/>
            <w:vAlign w:val="center"/>
          </w:tcPr>
          <w:p>
            <w:pPr>
              <w:autoSpaceDE w:val="0"/>
              <w:autoSpaceDN w:val="0"/>
              <w:adjustRightInd w:val="0"/>
              <w:jc w:val="center"/>
              <w:rPr>
                <w:rFonts w:ascii="宋体" w:cs="宋体"/>
                <w:color w:val="auto"/>
                <w:kern w:val="0"/>
                <w:sz w:val="21"/>
                <w:szCs w:val="21"/>
              </w:rPr>
            </w:pPr>
            <w:r>
              <w:rPr>
                <w:rFonts w:hint="eastAsia" w:ascii="宋体" w:cs="宋体"/>
                <w:color w:val="auto"/>
                <w:kern w:val="0"/>
                <w:sz w:val="21"/>
                <w:szCs w:val="21"/>
              </w:rPr>
              <w:t>《建筑施工场</w:t>
            </w:r>
          </w:p>
          <w:p>
            <w:pPr>
              <w:autoSpaceDE w:val="0"/>
              <w:autoSpaceDN w:val="0"/>
              <w:adjustRightInd w:val="0"/>
              <w:jc w:val="center"/>
              <w:rPr>
                <w:rFonts w:ascii="宋体" w:cs="宋体"/>
                <w:color w:val="auto"/>
                <w:kern w:val="0"/>
                <w:sz w:val="21"/>
                <w:szCs w:val="21"/>
              </w:rPr>
            </w:pPr>
            <w:r>
              <w:rPr>
                <w:rFonts w:hint="eastAsia" w:ascii="宋体" w:cs="宋体"/>
                <w:color w:val="auto"/>
                <w:kern w:val="0"/>
                <w:sz w:val="21"/>
                <w:szCs w:val="21"/>
              </w:rPr>
              <w:t>界环境噪声排</w:t>
            </w:r>
          </w:p>
          <w:p>
            <w:pPr>
              <w:autoSpaceDE w:val="0"/>
              <w:autoSpaceDN w:val="0"/>
              <w:adjustRightInd w:val="0"/>
              <w:jc w:val="center"/>
              <w:rPr>
                <w:rFonts w:ascii="宋体" w:cs="宋体"/>
                <w:color w:val="auto"/>
                <w:kern w:val="0"/>
                <w:sz w:val="21"/>
                <w:szCs w:val="21"/>
              </w:rPr>
            </w:pPr>
            <w:r>
              <w:rPr>
                <w:rFonts w:hint="eastAsia" w:ascii="宋体" w:cs="宋体"/>
                <w:color w:val="auto"/>
                <w:kern w:val="0"/>
                <w:sz w:val="21"/>
                <w:szCs w:val="21"/>
              </w:rPr>
              <w:t>放标准（</w:t>
            </w:r>
            <w:r>
              <w:rPr>
                <w:rFonts w:ascii="TimesNewRomanPSMT" w:hAnsi="TimesNewRomanPSMT" w:cs="TimesNewRomanPSMT"/>
                <w:color w:val="auto"/>
                <w:kern w:val="0"/>
                <w:sz w:val="21"/>
                <w:szCs w:val="21"/>
              </w:rPr>
              <w:t>GB12</w:t>
            </w:r>
          </w:p>
          <w:p>
            <w:pPr>
              <w:autoSpaceDE w:val="0"/>
              <w:autoSpaceDN w:val="0"/>
              <w:adjustRightInd w:val="0"/>
              <w:jc w:val="center"/>
              <w:rPr>
                <w:rFonts w:ascii="TimesNewRomanPSMT" w:hAnsi="TimesNewRomanPSMT" w:cs="TimesNewRomanPSMT"/>
                <w:color w:val="auto"/>
                <w:kern w:val="0"/>
                <w:sz w:val="21"/>
                <w:szCs w:val="21"/>
              </w:rPr>
            </w:pPr>
            <w:r>
              <w:rPr>
                <w:rFonts w:ascii="TimesNewRomanPSMT" w:hAnsi="TimesNewRomanPSMT" w:cs="TimesNewRomanPSMT"/>
                <w:color w:val="auto"/>
                <w:kern w:val="0"/>
                <w:sz w:val="21"/>
                <w:szCs w:val="21"/>
              </w:rPr>
              <w:t>523-2011</w:t>
            </w:r>
            <w:r>
              <w:rPr>
                <w:rFonts w:hint="eastAsia" w:ascii="宋体" w:cs="宋体"/>
                <w:color w:val="auto"/>
                <w:kern w:val="0"/>
                <w:sz w:val="21"/>
                <w:szCs w:val="21"/>
              </w:rPr>
              <w:t>）</w:t>
            </w:r>
          </w:p>
        </w:tc>
        <w:tc>
          <w:tcPr>
            <w:tcW w:w="886" w:type="pct"/>
            <w:vMerge w:val="restart"/>
            <w:vAlign w:val="center"/>
          </w:tcPr>
          <w:p>
            <w:pPr>
              <w:adjustRightInd w:val="0"/>
              <w:snapToGrid w:val="0"/>
              <w:jc w:val="center"/>
              <w:rPr>
                <w:rFonts w:ascii="Times New Roman" w:hAnsi="Times New Roman" w:eastAsia="宋体" w:cs="Times New Roman"/>
                <w:color w:val="auto"/>
                <w:kern w:val="2"/>
                <w:sz w:val="21"/>
                <w:szCs w:val="21"/>
                <w:lang w:val="en-US" w:eastAsia="zh-CN" w:bidi="ar-SA"/>
              </w:rPr>
            </w:pPr>
            <w:r>
              <w:rPr>
                <w:color w:val="auto"/>
                <w:szCs w:val="21"/>
              </w:rPr>
              <w:t>/</w:t>
            </w:r>
          </w:p>
        </w:tc>
        <w:tc>
          <w:tcPr>
            <w:tcW w:w="846" w:type="pct"/>
            <w:vMerge w:val="restart"/>
            <w:vAlign w:val="center"/>
          </w:tcPr>
          <w:p>
            <w:pPr>
              <w:adjustRightInd w:val="0"/>
              <w:snapToGrid w:val="0"/>
              <w:jc w:val="center"/>
              <w:rPr>
                <w:rFonts w:ascii="Times New Roman" w:hAnsi="Times New Roman" w:eastAsia="宋体" w:cs="Times New Roman"/>
                <w:color w:val="auto"/>
                <w:kern w:val="2"/>
                <w:sz w:val="21"/>
                <w:szCs w:val="21"/>
                <w:lang w:val="en-US" w:eastAsia="zh-CN" w:bidi="ar-SA"/>
              </w:rPr>
            </w:pPr>
            <w:r>
              <w:rPr>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44" w:type="pct"/>
            <w:vMerge w:val="continue"/>
            <w:vAlign w:val="center"/>
          </w:tcPr>
          <w:p>
            <w:pPr>
              <w:adjustRightInd w:val="0"/>
              <w:snapToGrid w:val="0"/>
              <w:jc w:val="center"/>
              <w:rPr>
                <w:color w:val="auto"/>
                <w:szCs w:val="21"/>
              </w:rPr>
            </w:pPr>
          </w:p>
        </w:tc>
        <w:tc>
          <w:tcPr>
            <w:tcW w:w="1155" w:type="pct"/>
            <w:vAlign w:val="center"/>
          </w:tcPr>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选用低噪声机械设备，同时做好施工机械的维护和保养，有效降低机械设备运转的噪声源强</w:t>
            </w:r>
            <w:r>
              <w:rPr>
                <w:rFonts w:hint="eastAsia" w:ascii="宋体" w:hAnsi="宋体" w:cs="宋体"/>
                <w:color w:val="auto"/>
                <w:kern w:val="0"/>
                <w:sz w:val="21"/>
                <w:szCs w:val="21"/>
                <w:lang w:val="en-US" w:eastAsia="zh-CN" w:bidi="ar"/>
              </w:rPr>
              <w:t>；</w:t>
            </w:r>
          </w:p>
        </w:tc>
        <w:tc>
          <w:tcPr>
            <w:tcW w:w="966" w:type="pct"/>
            <w:vMerge w:val="continue"/>
            <w:vAlign w:val="center"/>
          </w:tcPr>
          <w:p>
            <w:pPr>
              <w:autoSpaceDE w:val="0"/>
              <w:autoSpaceDN w:val="0"/>
              <w:adjustRightInd w:val="0"/>
              <w:jc w:val="center"/>
              <w:rPr>
                <w:rFonts w:ascii="TimesNewRomanPSMT" w:hAnsi="TimesNewRomanPSMT" w:cs="TimesNewRomanPSMT"/>
                <w:color w:val="auto"/>
                <w:kern w:val="0"/>
                <w:sz w:val="21"/>
                <w:szCs w:val="21"/>
              </w:rPr>
            </w:pPr>
          </w:p>
        </w:tc>
        <w:tc>
          <w:tcPr>
            <w:tcW w:w="886" w:type="pct"/>
            <w:vMerge w:val="continue"/>
            <w:vAlign w:val="center"/>
          </w:tcPr>
          <w:p>
            <w:pPr>
              <w:adjustRightInd w:val="0"/>
              <w:snapToGrid w:val="0"/>
              <w:jc w:val="center"/>
              <w:rPr>
                <w:color w:val="auto"/>
                <w:szCs w:val="21"/>
              </w:rPr>
            </w:pPr>
          </w:p>
        </w:tc>
        <w:tc>
          <w:tcPr>
            <w:tcW w:w="846" w:type="pct"/>
            <w:vMerge w:val="continue"/>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44" w:type="pct"/>
            <w:vMerge w:val="continue"/>
            <w:vAlign w:val="center"/>
          </w:tcPr>
          <w:p>
            <w:pPr>
              <w:adjustRightInd w:val="0"/>
              <w:snapToGrid w:val="0"/>
              <w:jc w:val="center"/>
              <w:rPr>
                <w:color w:val="auto"/>
                <w:szCs w:val="21"/>
              </w:rPr>
            </w:pPr>
          </w:p>
        </w:tc>
        <w:tc>
          <w:tcPr>
            <w:tcW w:w="1155" w:type="pct"/>
            <w:vAlign w:val="center"/>
          </w:tcPr>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合理安排车辆运输时间，沿线涉及居民段禁止鸣笛。</w:t>
            </w:r>
          </w:p>
        </w:tc>
        <w:tc>
          <w:tcPr>
            <w:tcW w:w="966" w:type="pct"/>
            <w:vMerge w:val="continue"/>
            <w:vAlign w:val="center"/>
          </w:tcPr>
          <w:p>
            <w:pPr>
              <w:autoSpaceDE w:val="0"/>
              <w:autoSpaceDN w:val="0"/>
              <w:adjustRightInd w:val="0"/>
              <w:jc w:val="center"/>
              <w:rPr>
                <w:rFonts w:ascii="TimesNewRomanPSMT" w:hAnsi="TimesNewRomanPSMT" w:cs="TimesNewRomanPSMT"/>
                <w:color w:val="auto"/>
                <w:kern w:val="0"/>
                <w:sz w:val="21"/>
                <w:szCs w:val="21"/>
              </w:rPr>
            </w:pPr>
          </w:p>
        </w:tc>
        <w:tc>
          <w:tcPr>
            <w:tcW w:w="886" w:type="pct"/>
            <w:vMerge w:val="continue"/>
            <w:vAlign w:val="center"/>
          </w:tcPr>
          <w:p>
            <w:pPr>
              <w:adjustRightInd w:val="0"/>
              <w:snapToGrid w:val="0"/>
              <w:jc w:val="center"/>
              <w:rPr>
                <w:color w:val="auto"/>
                <w:szCs w:val="21"/>
              </w:rPr>
            </w:pPr>
          </w:p>
        </w:tc>
        <w:tc>
          <w:tcPr>
            <w:tcW w:w="846" w:type="pct"/>
            <w:vMerge w:val="continue"/>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4" w:type="pct"/>
            <w:vAlign w:val="center"/>
          </w:tcPr>
          <w:p>
            <w:pPr>
              <w:adjustRightInd w:val="0"/>
              <w:snapToGrid w:val="0"/>
              <w:jc w:val="center"/>
              <w:rPr>
                <w:color w:val="auto"/>
                <w:szCs w:val="21"/>
              </w:rPr>
            </w:pPr>
            <w:r>
              <w:rPr>
                <w:color w:val="auto"/>
                <w:szCs w:val="21"/>
              </w:rPr>
              <w:t>振动</w:t>
            </w:r>
          </w:p>
        </w:tc>
        <w:tc>
          <w:tcPr>
            <w:tcW w:w="1155" w:type="pct"/>
            <w:vAlign w:val="center"/>
          </w:tcPr>
          <w:p>
            <w:pPr>
              <w:adjustRightInd w:val="0"/>
              <w:snapToGrid w:val="0"/>
              <w:jc w:val="center"/>
              <w:rPr>
                <w:color w:val="auto"/>
                <w:szCs w:val="21"/>
              </w:rPr>
            </w:pPr>
            <w:r>
              <w:rPr>
                <w:color w:val="auto"/>
                <w:szCs w:val="21"/>
              </w:rPr>
              <w:t>/</w:t>
            </w:r>
          </w:p>
        </w:tc>
        <w:tc>
          <w:tcPr>
            <w:tcW w:w="966" w:type="pct"/>
            <w:vAlign w:val="center"/>
          </w:tcPr>
          <w:p>
            <w:pPr>
              <w:adjustRightInd w:val="0"/>
              <w:snapToGrid w:val="0"/>
              <w:jc w:val="center"/>
              <w:rPr>
                <w:color w:val="auto"/>
                <w:szCs w:val="21"/>
              </w:rPr>
            </w:pPr>
            <w:r>
              <w:rPr>
                <w:color w:val="auto"/>
                <w:szCs w:val="21"/>
              </w:rPr>
              <w:t>/</w:t>
            </w:r>
          </w:p>
        </w:tc>
        <w:tc>
          <w:tcPr>
            <w:tcW w:w="886" w:type="pct"/>
            <w:vAlign w:val="center"/>
          </w:tcPr>
          <w:p>
            <w:pPr>
              <w:adjustRightInd w:val="0"/>
              <w:snapToGrid w:val="0"/>
              <w:jc w:val="center"/>
              <w:rPr>
                <w:color w:val="auto"/>
                <w:szCs w:val="21"/>
              </w:rPr>
            </w:pPr>
            <w:r>
              <w:rPr>
                <w:color w:val="auto"/>
                <w:szCs w:val="21"/>
              </w:rPr>
              <w:t>/</w:t>
            </w:r>
          </w:p>
        </w:tc>
        <w:tc>
          <w:tcPr>
            <w:tcW w:w="846" w:type="pct"/>
            <w:vAlign w:val="center"/>
          </w:tcPr>
          <w:p>
            <w:pPr>
              <w:adjustRightInd w:val="0"/>
              <w:snapToGrid w:val="0"/>
              <w:jc w:val="center"/>
              <w:rPr>
                <w:color w:val="auto"/>
                <w:szCs w:val="21"/>
              </w:rPr>
            </w:pPr>
            <w:r>
              <w:rPr>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4" w:type="pct"/>
            <w:vMerge w:val="restart"/>
            <w:vAlign w:val="center"/>
          </w:tcPr>
          <w:p>
            <w:pPr>
              <w:adjustRightInd w:val="0"/>
              <w:snapToGrid w:val="0"/>
              <w:jc w:val="center"/>
              <w:rPr>
                <w:color w:val="auto"/>
                <w:szCs w:val="21"/>
              </w:rPr>
            </w:pPr>
            <w:r>
              <w:rPr>
                <w:color w:val="auto"/>
                <w:szCs w:val="21"/>
              </w:rPr>
              <w:t>大气环境</w:t>
            </w:r>
          </w:p>
        </w:tc>
        <w:tc>
          <w:tcPr>
            <w:tcW w:w="1155" w:type="pct"/>
            <w:vAlign w:val="center"/>
          </w:tcPr>
          <w:p>
            <w:pPr>
              <w:autoSpaceDE w:val="0"/>
              <w:autoSpaceDN w:val="0"/>
              <w:adjustRightInd w:val="0"/>
              <w:jc w:val="center"/>
              <w:rPr>
                <w:rFonts w:ascii="宋体" w:cs="宋体"/>
                <w:color w:val="auto"/>
                <w:kern w:val="0"/>
                <w:szCs w:val="21"/>
              </w:rPr>
            </w:pPr>
            <w:r>
              <w:rPr>
                <w:rFonts w:hint="eastAsia" w:ascii="宋体" w:cs="宋体"/>
                <w:color w:val="auto"/>
                <w:kern w:val="0"/>
                <w:szCs w:val="21"/>
              </w:rPr>
              <w:t>施工用地周边彩钢板围挡</w:t>
            </w:r>
          </w:p>
        </w:tc>
        <w:tc>
          <w:tcPr>
            <w:tcW w:w="966" w:type="pct"/>
            <w:vMerge w:val="restart"/>
            <w:vAlign w:val="center"/>
          </w:tcPr>
          <w:p>
            <w:pPr>
              <w:autoSpaceDE w:val="0"/>
              <w:autoSpaceDN w:val="0"/>
              <w:adjustRightInd w:val="0"/>
              <w:jc w:val="center"/>
              <w:rPr>
                <w:rFonts w:ascii="宋体" w:cs="宋体"/>
                <w:color w:val="auto"/>
                <w:kern w:val="0"/>
                <w:szCs w:val="21"/>
              </w:rPr>
            </w:pPr>
            <w:r>
              <w:rPr>
                <w:rFonts w:hint="eastAsia" w:ascii="宋体" w:cs="宋体"/>
                <w:color w:val="auto"/>
                <w:kern w:val="0"/>
                <w:szCs w:val="21"/>
              </w:rPr>
              <w:t>《施工场界扬尘排放限值》</w:t>
            </w:r>
          </w:p>
          <w:p>
            <w:pPr>
              <w:autoSpaceDE w:val="0"/>
              <w:autoSpaceDN w:val="0"/>
              <w:adjustRightInd w:val="0"/>
              <w:jc w:val="center"/>
              <w:rPr>
                <w:color w:val="auto"/>
                <w:szCs w:val="21"/>
              </w:rPr>
            </w:pPr>
            <w:r>
              <w:rPr>
                <w:rFonts w:hint="eastAsia" w:ascii="宋体" w:cs="宋体"/>
                <w:color w:val="auto"/>
                <w:kern w:val="0"/>
                <w:szCs w:val="21"/>
              </w:rPr>
              <w:t>（</w:t>
            </w:r>
            <w:r>
              <w:rPr>
                <w:rFonts w:ascii="TimesNewRomanPSMT" w:hAnsi="TimesNewRomanPSMT" w:cs="TimesNewRomanPSMT"/>
                <w:color w:val="auto"/>
                <w:kern w:val="0"/>
                <w:szCs w:val="21"/>
              </w:rPr>
              <w:t>DB61/1078-2017</w:t>
            </w:r>
            <w:r>
              <w:rPr>
                <w:rFonts w:hint="eastAsia" w:ascii="宋体" w:cs="宋体"/>
                <w:color w:val="auto"/>
                <w:kern w:val="0"/>
                <w:szCs w:val="21"/>
              </w:rPr>
              <w:t>）</w:t>
            </w:r>
          </w:p>
        </w:tc>
        <w:tc>
          <w:tcPr>
            <w:tcW w:w="886" w:type="pct"/>
            <w:vMerge w:val="restart"/>
            <w:vAlign w:val="center"/>
          </w:tcPr>
          <w:p>
            <w:pPr>
              <w:adjustRightInd w:val="0"/>
              <w:snapToGrid w:val="0"/>
              <w:jc w:val="center"/>
              <w:rPr>
                <w:color w:val="auto"/>
                <w:szCs w:val="21"/>
              </w:rPr>
            </w:pPr>
            <w:r>
              <w:rPr>
                <w:color w:val="auto"/>
                <w:szCs w:val="21"/>
              </w:rPr>
              <w:t>/</w:t>
            </w:r>
          </w:p>
        </w:tc>
        <w:tc>
          <w:tcPr>
            <w:tcW w:w="846" w:type="pct"/>
            <w:vMerge w:val="restart"/>
            <w:vAlign w:val="center"/>
          </w:tcPr>
          <w:p>
            <w:pPr>
              <w:adjustRightInd w:val="0"/>
              <w:snapToGrid w:val="0"/>
              <w:jc w:val="center"/>
              <w:rPr>
                <w:color w:val="auto"/>
                <w:szCs w:val="21"/>
              </w:rPr>
            </w:pPr>
            <w:r>
              <w:rPr>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4" w:type="pct"/>
            <w:vMerge w:val="continue"/>
            <w:vAlign w:val="center"/>
          </w:tcPr>
          <w:p>
            <w:pPr>
              <w:adjustRightInd w:val="0"/>
              <w:snapToGrid w:val="0"/>
              <w:jc w:val="center"/>
              <w:rPr>
                <w:color w:val="auto"/>
                <w:szCs w:val="21"/>
              </w:rPr>
            </w:pPr>
          </w:p>
        </w:tc>
        <w:tc>
          <w:tcPr>
            <w:tcW w:w="1155" w:type="pct"/>
            <w:vAlign w:val="center"/>
          </w:tcPr>
          <w:p>
            <w:pPr>
              <w:autoSpaceDE w:val="0"/>
              <w:autoSpaceDN w:val="0"/>
              <w:adjustRightInd w:val="0"/>
              <w:jc w:val="center"/>
              <w:rPr>
                <w:rFonts w:hint="eastAsia" w:ascii="宋体" w:cs="宋体"/>
                <w:color w:val="auto"/>
                <w:kern w:val="0"/>
                <w:szCs w:val="21"/>
              </w:rPr>
            </w:pPr>
            <w:r>
              <w:rPr>
                <w:rFonts w:hint="eastAsia" w:ascii="宋体" w:cs="宋体"/>
                <w:color w:val="auto"/>
                <w:kern w:val="0"/>
                <w:szCs w:val="21"/>
              </w:rPr>
              <w:t>运输车辆遮盖篷布</w:t>
            </w:r>
          </w:p>
        </w:tc>
        <w:tc>
          <w:tcPr>
            <w:tcW w:w="966" w:type="pct"/>
            <w:vMerge w:val="continue"/>
            <w:vAlign w:val="center"/>
          </w:tcPr>
          <w:p>
            <w:pPr>
              <w:adjustRightInd w:val="0"/>
              <w:snapToGrid w:val="0"/>
              <w:jc w:val="center"/>
              <w:rPr>
                <w:color w:val="auto"/>
                <w:szCs w:val="21"/>
              </w:rPr>
            </w:pPr>
          </w:p>
        </w:tc>
        <w:tc>
          <w:tcPr>
            <w:tcW w:w="886" w:type="pct"/>
            <w:vMerge w:val="continue"/>
            <w:vAlign w:val="center"/>
          </w:tcPr>
          <w:p>
            <w:pPr>
              <w:adjustRightInd w:val="0"/>
              <w:snapToGrid w:val="0"/>
              <w:jc w:val="center"/>
              <w:rPr>
                <w:color w:val="auto"/>
                <w:szCs w:val="21"/>
              </w:rPr>
            </w:pPr>
          </w:p>
        </w:tc>
        <w:tc>
          <w:tcPr>
            <w:tcW w:w="846" w:type="pct"/>
            <w:vMerge w:val="continue"/>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4" w:type="pct"/>
            <w:vMerge w:val="continue"/>
            <w:vAlign w:val="center"/>
          </w:tcPr>
          <w:p>
            <w:pPr>
              <w:adjustRightInd w:val="0"/>
              <w:snapToGrid w:val="0"/>
              <w:jc w:val="center"/>
              <w:rPr>
                <w:color w:val="auto"/>
                <w:szCs w:val="21"/>
              </w:rPr>
            </w:pPr>
          </w:p>
        </w:tc>
        <w:tc>
          <w:tcPr>
            <w:tcW w:w="1155" w:type="pct"/>
            <w:vAlign w:val="center"/>
          </w:tcPr>
          <w:p>
            <w:pPr>
              <w:autoSpaceDE w:val="0"/>
              <w:autoSpaceDN w:val="0"/>
              <w:adjustRightInd w:val="0"/>
              <w:jc w:val="center"/>
              <w:rPr>
                <w:rFonts w:hint="eastAsia" w:ascii="宋体" w:cs="宋体"/>
                <w:color w:val="auto"/>
                <w:kern w:val="0"/>
                <w:szCs w:val="21"/>
              </w:rPr>
            </w:pPr>
            <w:r>
              <w:rPr>
                <w:rFonts w:hint="eastAsia" w:ascii="宋体" w:cs="宋体"/>
                <w:color w:val="auto"/>
                <w:kern w:val="0"/>
                <w:szCs w:val="21"/>
              </w:rPr>
              <w:t>施工现场洒水作业，设置移动式洒水车</w:t>
            </w:r>
          </w:p>
        </w:tc>
        <w:tc>
          <w:tcPr>
            <w:tcW w:w="966" w:type="pct"/>
            <w:vMerge w:val="continue"/>
            <w:vAlign w:val="center"/>
          </w:tcPr>
          <w:p>
            <w:pPr>
              <w:adjustRightInd w:val="0"/>
              <w:snapToGrid w:val="0"/>
              <w:jc w:val="center"/>
              <w:rPr>
                <w:color w:val="auto"/>
                <w:szCs w:val="21"/>
              </w:rPr>
            </w:pPr>
          </w:p>
        </w:tc>
        <w:tc>
          <w:tcPr>
            <w:tcW w:w="886" w:type="pct"/>
            <w:vMerge w:val="continue"/>
            <w:vAlign w:val="center"/>
          </w:tcPr>
          <w:p>
            <w:pPr>
              <w:adjustRightInd w:val="0"/>
              <w:snapToGrid w:val="0"/>
              <w:jc w:val="center"/>
              <w:rPr>
                <w:color w:val="auto"/>
                <w:szCs w:val="21"/>
              </w:rPr>
            </w:pPr>
          </w:p>
        </w:tc>
        <w:tc>
          <w:tcPr>
            <w:tcW w:w="846" w:type="pct"/>
            <w:vMerge w:val="continue"/>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4" w:type="pct"/>
            <w:vMerge w:val="continue"/>
            <w:vAlign w:val="center"/>
          </w:tcPr>
          <w:p>
            <w:pPr>
              <w:adjustRightInd w:val="0"/>
              <w:snapToGrid w:val="0"/>
              <w:jc w:val="center"/>
              <w:rPr>
                <w:color w:val="auto"/>
                <w:szCs w:val="21"/>
              </w:rPr>
            </w:pPr>
          </w:p>
        </w:tc>
        <w:tc>
          <w:tcPr>
            <w:tcW w:w="1155" w:type="pct"/>
            <w:vAlign w:val="center"/>
          </w:tcPr>
          <w:p>
            <w:pPr>
              <w:autoSpaceDE w:val="0"/>
              <w:autoSpaceDN w:val="0"/>
              <w:adjustRightInd w:val="0"/>
              <w:jc w:val="center"/>
              <w:rPr>
                <w:rFonts w:hint="eastAsia" w:ascii="宋体" w:cs="宋体"/>
                <w:color w:val="auto"/>
                <w:kern w:val="0"/>
                <w:szCs w:val="21"/>
              </w:rPr>
            </w:pPr>
            <w:r>
              <w:rPr>
                <w:rFonts w:hint="eastAsia" w:ascii="宋体" w:cs="宋体"/>
                <w:color w:val="auto"/>
                <w:kern w:val="0"/>
                <w:szCs w:val="21"/>
              </w:rPr>
              <w:t>设置车辆冲洗台、视频监控系统、扬尘在线监测系统</w:t>
            </w:r>
          </w:p>
        </w:tc>
        <w:tc>
          <w:tcPr>
            <w:tcW w:w="966" w:type="pct"/>
            <w:vMerge w:val="continue"/>
            <w:vAlign w:val="center"/>
          </w:tcPr>
          <w:p>
            <w:pPr>
              <w:adjustRightInd w:val="0"/>
              <w:snapToGrid w:val="0"/>
              <w:jc w:val="center"/>
              <w:rPr>
                <w:color w:val="auto"/>
                <w:szCs w:val="21"/>
              </w:rPr>
            </w:pPr>
          </w:p>
        </w:tc>
        <w:tc>
          <w:tcPr>
            <w:tcW w:w="886" w:type="pct"/>
            <w:vMerge w:val="continue"/>
            <w:vAlign w:val="center"/>
          </w:tcPr>
          <w:p>
            <w:pPr>
              <w:adjustRightInd w:val="0"/>
              <w:snapToGrid w:val="0"/>
              <w:jc w:val="center"/>
              <w:rPr>
                <w:color w:val="auto"/>
                <w:szCs w:val="21"/>
              </w:rPr>
            </w:pPr>
          </w:p>
        </w:tc>
        <w:tc>
          <w:tcPr>
            <w:tcW w:w="846" w:type="pct"/>
            <w:vMerge w:val="continue"/>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4" w:type="pct"/>
            <w:vMerge w:val="continue"/>
            <w:vAlign w:val="center"/>
          </w:tcPr>
          <w:p>
            <w:pPr>
              <w:adjustRightInd w:val="0"/>
              <w:snapToGrid w:val="0"/>
              <w:jc w:val="center"/>
              <w:rPr>
                <w:color w:val="auto"/>
                <w:szCs w:val="21"/>
              </w:rPr>
            </w:pPr>
          </w:p>
        </w:tc>
        <w:tc>
          <w:tcPr>
            <w:tcW w:w="1155" w:type="pct"/>
            <w:vAlign w:val="center"/>
          </w:tcPr>
          <w:p>
            <w:pPr>
              <w:autoSpaceDE w:val="0"/>
              <w:autoSpaceDN w:val="0"/>
              <w:adjustRightInd w:val="0"/>
              <w:jc w:val="center"/>
              <w:rPr>
                <w:rFonts w:hint="eastAsia" w:ascii="宋体" w:cs="宋体"/>
                <w:color w:val="auto"/>
                <w:kern w:val="0"/>
                <w:szCs w:val="21"/>
              </w:rPr>
            </w:pPr>
            <w:r>
              <w:rPr>
                <w:rFonts w:hint="eastAsia" w:ascii="宋体" w:cs="宋体"/>
                <w:color w:val="auto"/>
                <w:kern w:val="0"/>
                <w:szCs w:val="21"/>
              </w:rPr>
              <w:t>建筑材料堆放点遮盖篷布</w:t>
            </w:r>
          </w:p>
        </w:tc>
        <w:tc>
          <w:tcPr>
            <w:tcW w:w="966" w:type="pct"/>
            <w:vMerge w:val="continue"/>
            <w:vAlign w:val="center"/>
          </w:tcPr>
          <w:p>
            <w:pPr>
              <w:adjustRightInd w:val="0"/>
              <w:snapToGrid w:val="0"/>
              <w:jc w:val="center"/>
              <w:rPr>
                <w:color w:val="auto"/>
                <w:szCs w:val="21"/>
              </w:rPr>
            </w:pPr>
          </w:p>
        </w:tc>
        <w:tc>
          <w:tcPr>
            <w:tcW w:w="886" w:type="pct"/>
            <w:vMerge w:val="continue"/>
            <w:vAlign w:val="center"/>
          </w:tcPr>
          <w:p>
            <w:pPr>
              <w:adjustRightInd w:val="0"/>
              <w:snapToGrid w:val="0"/>
              <w:jc w:val="center"/>
              <w:rPr>
                <w:color w:val="auto"/>
                <w:szCs w:val="21"/>
              </w:rPr>
            </w:pPr>
          </w:p>
        </w:tc>
        <w:tc>
          <w:tcPr>
            <w:tcW w:w="846" w:type="pct"/>
            <w:vMerge w:val="continue"/>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4" w:type="pct"/>
            <w:vMerge w:val="restart"/>
            <w:vAlign w:val="center"/>
          </w:tcPr>
          <w:p>
            <w:pPr>
              <w:adjustRightInd w:val="0"/>
              <w:snapToGrid w:val="0"/>
              <w:jc w:val="center"/>
              <w:rPr>
                <w:color w:val="auto"/>
                <w:szCs w:val="21"/>
              </w:rPr>
            </w:pPr>
            <w:r>
              <w:rPr>
                <w:color w:val="auto"/>
                <w:szCs w:val="21"/>
              </w:rPr>
              <w:t>固体废物</w:t>
            </w:r>
          </w:p>
        </w:tc>
        <w:tc>
          <w:tcPr>
            <w:tcW w:w="1155" w:type="pct"/>
            <w:vAlign w:val="center"/>
          </w:tcPr>
          <w:p>
            <w:pPr>
              <w:autoSpaceDE w:val="0"/>
              <w:autoSpaceDN w:val="0"/>
              <w:adjustRightInd w:val="0"/>
              <w:jc w:val="center"/>
              <w:rPr>
                <w:color w:val="auto"/>
                <w:szCs w:val="21"/>
              </w:rPr>
            </w:pPr>
            <w:r>
              <w:rPr>
                <w:rFonts w:hint="eastAsia" w:ascii="宋体" w:cs="宋体"/>
                <w:color w:val="auto"/>
                <w:kern w:val="0"/>
                <w:szCs w:val="21"/>
              </w:rPr>
              <w:t>生活垃圾集中收集至配备的垃圾桶，送往生活垃圾填埋场处置</w:t>
            </w:r>
          </w:p>
        </w:tc>
        <w:tc>
          <w:tcPr>
            <w:tcW w:w="966" w:type="pct"/>
            <w:vMerge w:val="restart"/>
            <w:vAlign w:val="center"/>
          </w:tcPr>
          <w:p>
            <w:pPr>
              <w:autoSpaceDE w:val="0"/>
              <w:autoSpaceDN w:val="0"/>
              <w:adjustRightInd w:val="0"/>
              <w:jc w:val="left"/>
              <w:rPr>
                <w:rFonts w:ascii="宋体" w:cs="宋体"/>
                <w:color w:val="auto"/>
                <w:kern w:val="0"/>
                <w:szCs w:val="21"/>
              </w:rPr>
            </w:pPr>
            <w:r>
              <w:rPr>
                <w:rFonts w:hint="eastAsia" w:ascii="宋体" w:cs="宋体"/>
                <w:color w:val="auto"/>
                <w:kern w:val="0"/>
                <w:szCs w:val="21"/>
              </w:rPr>
              <w:t>处置率</w:t>
            </w:r>
            <w:r>
              <w:rPr>
                <w:rFonts w:ascii="TimesNewRomanPSMT" w:hAnsi="TimesNewRomanPSMT" w:cs="TimesNewRomanPSMT"/>
                <w:color w:val="auto"/>
                <w:kern w:val="0"/>
                <w:szCs w:val="21"/>
              </w:rPr>
              <w:t>100%</w:t>
            </w:r>
          </w:p>
        </w:tc>
        <w:tc>
          <w:tcPr>
            <w:tcW w:w="886" w:type="pct"/>
            <w:vMerge w:val="restart"/>
            <w:vAlign w:val="center"/>
          </w:tcPr>
          <w:p>
            <w:pPr>
              <w:adjustRightInd w:val="0"/>
              <w:snapToGrid w:val="0"/>
              <w:jc w:val="center"/>
              <w:rPr>
                <w:color w:val="auto"/>
                <w:szCs w:val="21"/>
              </w:rPr>
            </w:pPr>
            <w:r>
              <w:rPr>
                <w:rFonts w:hint="eastAsia"/>
                <w:color w:val="auto"/>
                <w:szCs w:val="21"/>
              </w:rPr>
              <w:t>/</w:t>
            </w:r>
          </w:p>
        </w:tc>
        <w:tc>
          <w:tcPr>
            <w:tcW w:w="846" w:type="pct"/>
            <w:vMerge w:val="restart"/>
            <w:vAlign w:val="center"/>
          </w:tcPr>
          <w:p>
            <w:pPr>
              <w:adjustRightInd w:val="0"/>
              <w:snapToGrid w:val="0"/>
              <w:jc w:val="center"/>
              <w:rPr>
                <w:color w:val="auto"/>
                <w:szCs w:val="21"/>
              </w:rPr>
            </w:pPr>
            <w:r>
              <w:rPr>
                <w:rFonts w:hint="eastAsia"/>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4" w:type="pct"/>
            <w:vMerge w:val="continue"/>
            <w:vAlign w:val="center"/>
          </w:tcPr>
          <w:p>
            <w:pPr>
              <w:adjustRightInd w:val="0"/>
              <w:snapToGrid w:val="0"/>
              <w:jc w:val="center"/>
              <w:rPr>
                <w:color w:val="auto"/>
                <w:szCs w:val="21"/>
              </w:rPr>
            </w:pPr>
          </w:p>
        </w:tc>
        <w:tc>
          <w:tcPr>
            <w:tcW w:w="1155" w:type="pct"/>
            <w:vAlign w:val="center"/>
          </w:tcPr>
          <w:p>
            <w:pPr>
              <w:autoSpaceDE w:val="0"/>
              <w:autoSpaceDN w:val="0"/>
              <w:adjustRightInd w:val="0"/>
              <w:jc w:val="center"/>
              <w:rPr>
                <w:rFonts w:hint="eastAsia" w:ascii="TimesNewRomanPSMT" w:hAnsi="TimesNewRomanPSMT" w:cs="TimesNewRomanPSMT"/>
                <w:color w:val="auto"/>
                <w:kern w:val="0"/>
                <w:szCs w:val="21"/>
              </w:rPr>
            </w:pPr>
            <w:r>
              <w:rPr>
                <w:rFonts w:hint="eastAsia" w:ascii="宋体" w:cs="宋体"/>
                <w:color w:val="auto"/>
                <w:kern w:val="0"/>
                <w:szCs w:val="21"/>
              </w:rPr>
              <w:t>建筑垃圾按要求分类处置率</w:t>
            </w:r>
            <w:r>
              <w:rPr>
                <w:rFonts w:ascii="TimesNewRomanPSMT" w:hAnsi="TimesNewRomanPSMT" w:cs="TimesNewRomanPSMT"/>
                <w:color w:val="auto"/>
                <w:kern w:val="0"/>
                <w:szCs w:val="21"/>
              </w:rPr>
              <w:t>100%</w:t>
            </w:r>
            <w:r>
              <w:rPr>
                <w:rFonts w:hint="eastAsia" w:ascii="宋体" w:cs="宋体"/>
                <w:color w:val="auto"/>
                <w:kern w:val="0"/>
                <w:szCs w:val="21"/>
              </w:rPr>
              <w:t>处置、综合回收利用，不能回用的及时送往城建部门指定的建筑垃圾处理场处置，弃土送至弃土场。</w:t>
            </w:r>
          </w:p>
        </w:tc>
        <w:tc>
          <w:tcPr>
            <w:tcW w:w="966" w:type="pct"/>
            <w:vMerge w:val="continue"/>
            <w:vAlign w:val="center"/>
          </w:tcPr>
          <w:p>
            <w:pPr>
              <w:adjustRightInd w:val="0"/>
              <w:snapToGrid w:val="0"/>
              <w:jc w:val="center"/>
              <w:rPr>
                <w:color w:val="auto"/>
                <w:szCs w:val="21"/>
              </w:rPr>
            </w:pPr>
          </w:p>
        </w:tc>
        <w:tc>
          <w:tcPr>
            <w:tcW w:w="886" w:type="pct"/>
            <w:vMerge w:val="continue"/>
            <w:vAlign w:val="center"/>
          </w:tcPr>
          <w:p>
            <w:pPr>
              <w:adjustRightInd w:val="0"/>
              <w:snapToGrid w:val="0"/>
              <w:jc w:val="center"/>
              <w:rPr>
                <w:color w:val="auto"/>
                <w:szCs w:val="21"/>
              </w:rPr>
            </w:pPr>
          </w:p>
        </w:tc>
        <w:tc>
          <w:tcPr>
            <w:tcW w:w="846" w:type="pct"/>
            <w:vMerge w:val="continue"/>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4" w:type="pct"/>
            <w:vAlign w:val="center"/>
          </w:tcPr>
          <w:p>
            <w:pPr>
              <w:adjustRightInd w:val="0"/>
              <w:snapToGrid w:val="0"/>
              <w:jc w:val="center"/>
              <w:rPr>
                <w:color w:val="auto"/>
                <w:szCs w:val="21"/>
              </w:rPr>
            </w:pPr>
            <w:r>
              <w:rPr>
                <w:color w:val="auto"/>
                <w:szCs w:val="21"/>
              </w:rPr>
              <w:t>电磁环境</w:t>
            </w:r>
          </w:p>
        </w:tc>
        <w:tc>
          <w:tcPr>
            <w:tcW w:w="1155" w:type="pct"/>
            <w:vAlign w:val="center"/>
          </w:tcPr>
          <w:p>
            <w:pPr>
              <w:adjustRightInd w:val="0"/>
              <w:snapToGrid w:val="0"/>
              <w:jc w:val="center"/>
              <w:rPr>
                <w:color w:val="auto"/>
                <w:szCs w:val="21"/>
              </w:rPr>
            </w:pPr>
            <w:r>
              <w:rPr>
                <w:color w:val="auto"/>
                <w:szCs w:val="21"/>
              </w:rPr>
              <w:t>/</w:t>
            </w:r>
          </w:p>
        </w:tc>
        <w:tc>
          <w:tcPr>
            <w:tcW w:w="966" w:type="pct"/>
            <w:vAlign w:val="center"/>
          </w:tcPr>
          <w:p>
            <w:pPr>
              <w:adjustRightInd w:val="0"/>
              <w:snapToGrid w:val="0"/>
              <w:jc w:val="center"/>
              <w:rPr>
                <w:color w:val="auto"/>
                <w:szCs w:val="21"/>
              </w:rPr>
            </w:pPr>
            <w:r>
              <w:rPr>
                <w:color w:val="auto"/>
                <w:szCs w:val="21"/>
              </w:rPr>
              <w:t>/</w:t>
            </w:r>
          </w:p>
        </w:tc>
        <w:tc>
          <w:tcPr>
            <w:tcW w:w="886" w:type="pct"/>
            <w:vAlign w:val="center"/>
          </w:tcPr>
          <w:p>
            <w:pPr>
              <w:adjustRightInd w:val="0"/>
              <w:snapToGrid w:val="0"/>
              <w:jc w:val="center"/>
              <w:rPr>
                <w:color w:val="auto"/>
                <w:szCs w:val="21"/>
              </w:rPr>
            </w:pPr>
            <w:r>
              <w:rPr>
                <w:color w:val="auto"/>
                <w:szCs w:val="21"/>
              </w:rPr>
              <w:t>/</w:t>
            </w:r>
          </w:p>
        </w:tc>
        <w:tc>
          <w:tcPr>
            <w:tcW w:w="846" w:type="pct"/>
            <w:vAlign w:val="center"/>
          </w:tcPr>
          <w:p>
            <w:pPr>
              <w:adjustRightInd w:val="0"/>
              <w:snapToGrid w:val="0"/>
              <w:jc w:val="center"/>
              <w:rPr>
                <w:color w:val="auto"/>
                <w:szCs w:val="21"/>
              </w:rPr>
            </w:pPr>
            <w:r>
              <w:rPr>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4" w:type="pct"/>
            <w:vAlign w:val="center"/>
          </w:tcPr>
          <w:p>
            <w:pPr>
              <w:adjustRightInd w:val="0"/>
              <w:snapToGrid w:val="0"/>
              <w:jc w:val="center"/>
              <w:rPr>
                <w:color w:val="auto"/>
                <w:szCs w:val="21"/>
              </w:rPr>
            </w:pPr>
            <w:r>
              <w:rPr>
                <w:color w:val="auto"/>
                <w:szCs w:val="21"/>
              </w:rPr>
              <w:t>环境风险</w:t>
            </w:r>
          </w:p>
        </w:tc>
        <w:tc>
          <w:tcPr>
            <w:tcW w:w="1155" w:type="pct"/>
            <w:vAlign w:val="center"/>
          </w:tcPr>
          <w:p>
            <w:pPr>
              <w:adjustRightInd w:val="0"/>
              <w:snapToGrid w:val="0"/>
              <w:jc w:val="center"/>
              <w:rPr>
                <w:color w:val="auto"/>
                <w:szCs w:val="21"/>
              </w:rPr>
            </w:pPr>
            <w:r>
              <w:rPr>
                <w:rFonts w:hint="eastAsia"/>
                <w:color w:val="auto"/>
                <w:szCs w:val="21"/>
              </w:rPr>
              <w:t>/</w:t>
            </w:r>
          </w:p>
        </w:tc>
        <w:tc>
          <w:tcPr>
            <w:tcW w:w="966" w:type="pct"/>
            <w:vAlign w:val="center"/>
          </w:tcPr>
          <w:p>
            <w:pPr>
              <w:adjustRightInd w:val="0"/>
              <w:snapToGrid w:val="0"/>
              <w:jc w:val="center"/>
              <w:rPr>
                <w:color w:val="auto"/>
                <w:szCs w:val="21"/>
              </w:rPr>
            </w:pPr>
            <w:r>
              <w:rPr>
                <w:rFonts w:hint="eastAsia"/>
                <w:color w:val="auto"/>
                <w:szCs w:val="21"/>
              </w:rPr>
              <w:t>/</w:t>
            </w:r>
          </w:p>
        </w:tc>
        <w:tc>
          <w:tcPr>
            <w:tcW w:w="886" w:type="pct"/>
            <w:vAlign w:val="center"/>
          </w:tcPr>
          <w:p>
            <w:pPr>
              <w:adjustRightInd w:val="0"/>
              <w:snapToGrid w:val="0"/>
              <w:jc w:val="center"/>
              <w:rPr>
                <w:rFonts w:ascii="Times New Roman" w:hAnsi="Times New Roman" w:eastAsia="宋体" w:cs="Times New Roman"/>
                <w:color w:val="auto"/>
                <w:kern w:val="2"/>
                <w:sz w:val="21"/>
                <w:szCs w:val="21"/>
                <w:lang w:val="en-US" w:eastAsia="zh-CN" w:bidi="ar-SA"/>
              </w:rPr>
            </w:pPr>
            <w:r>
              <w:rPr>
                <w:rFonts w:hint="eastAsia"/>
                <w:color w:val="auto"/>
                <w:szCs w:val="21"/>
              </w:rPr>
              <w:t>/</w:t>
            </w:r>
          </w:p>
        </w:tc>
        <w:tc>
          <w:tcPr>
            <w:tcW w:w="846" w:type="pct"/>
            <w:vAlign w:val="center"/>
          </w:tcPr>
          <w:p>
            <w:pPr>
              <w:adjustRightInd w:val="0"/>
              <w:snapToGrid w:val="0"/>
              <w:jc w:val="center"/>
              <w:rPr>
                <w:rFonts w:ascii="Times New Roman" w:hAnsi="Times New Roman" w:eastAsia="宋体" w:cs="Times New Roman"/>
                <w:color w:val="auto"/>
                <w:kern w:val="2"/>
                <w:sz w:val="21"/>
                <w:szCs w:val="21"/>
                <w:lang w:val="en-US" w:eastAsia="zh-CN" w:bidi="ar-SA"/>
              </w:rPr>
            </w:pPr>
            <w:r>
              <w:rPr>
                <w:rFonts w:hint="eastAsia"/>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144" w:type="pct"/>
            <w:vMerge w:val="restart"/>
            <w:vAlign w:val="center"/>
          </w:tcPr>
          <w:p>
            <w:pPr>
              <w:adjustRightInd w:val="0"/>
              <w:snapToGrid w:val="0"/>
              <w:jc w:val="center"/>
              <w:rPr>
                <w:color w:val="auto"/>
                <w:szCs w:val="21"/>
              </w:rPr>
            </w:pPr>
            <w:r>
              <w:rPr>
                <w:color w:val="auto"/>
                <w:szCs w:val="21"/>
              </w:rPr>
              <w:t>环境监测</w:t>
            </w:r>
          </w:p>
        </w:tc>
        <w:tc>
          <w:tcPr>
            <w:tcW w:w="1155" w:type="pct"/>
            <w:vAlign w:val="center"/>
          </w:tcPr>
          <w:p>
            <w:pPr>
              <w:autoSpaceDE w:val="0"/>
              <w:autoSpaceDN w:val="0"/>
              <w:adjustRightInd w:val="0"/>
              <w:jc w:val="center"/>
              <w:rPr>
                <w:rFonts w:hint="eastAsia" w:ascii="宋体" w:cs="宋体"/>
                <w:color w:val="auto"/>
                <w:kern w:val="0"/>
                <w:szCs w:val="21"/>
              </w:rPr>
            </w:pPr>
            <w:r>
              <w:rPr>
                <w:rFonts w:hint="eastAsia" w:ascii="宋体" w:cs="宋体"/>
                <w:color w:val="auto"/>
                <w:kern w:val="0"/>
                <w:szCs w:val="21"/>
                <w:lang w:val="en-US" w:eastAsia="zh-CN"/>
              </w:rPr>
              <w:t>无组织扬尘：施工场地的上风向</w:t>
            </w:r>
            <w:r>
              <w:rPr>
                <w:rFonts w:hint="default" w:ascii="宋体" w:cs="宋体"/>
                <w:color w:val="auto"/>
                <w:kern w:val="0"/>
                <w:szCs w:val="21"/>
                <w:lang w:val="en-US" w:eastAsia="zh-CN"/>
              </w:rPr>
              <w:t>1</w:t>
            </w:r>
            <w:r>
              <w:rPr>
                <w:rFonts w:hint="eastAsia" w:ascii="宋体" w:cs="宋体"/>
                <w:color w:val="auto"/>
                <w:kern w:val="0"/>
                <w:szCs w:val="21"/>
                <w:lang w:val="en-US" w:eastAsia="zh-CN"/>
              </w:rPr>
              <w:t>个、下风向</w:t>
            </w:r>
            <w:r>
              <w:rPr>
                <w:rFonts w:hint="default" w:ascii="宋体" w:cs="宋体"/>
                <w:color w:val="auto"/>
                <w:kern w:val="0"/>
                <w:szCs w:val="21"/>
                <w:lang w:val="en-US" w:eastAsia="zh-CN"/>
              </w:rPr>
              <w:t>3</w:t>
            </w:r>
            <w:r>
              <w:rPr>
                <w:rFonts w:hint="eastAsia" w:ascii="宋体" w:cs="宋体"/>
                <w:color w:val="auto"/>
                <w:kern w:val="0"/>
                <w:szCs w:val="21"/>
                <w:lang w:val="en-US" w:eastAsia="zh-CN"/>
              </w:rPr>
              <w:t>个，施工期每季度一次</w:t>
            </w:r>
          </w:p>
        </w:tc>
        <w:tc>
          <w:tcPr>
            <w:tcW w:w="966" w:type="pct"/>
            <w:vAlign w:val="center"/>
          </w:tcPr>
          <w:p>
            <w:pPr>
              <w:autoSpaceDE w:val="0"/>
              <w:autoSpaceDN w:val="0"/>
              <w:adjustRightIn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《施工场界扬尘排放限值》（DB61/1078-2017）</w:t>
            </w:r>
          </w:p>
        </w:tc>
        <w:tc>
          <w:tcPr>
            <w:tcW w:w="886" w:type="pct"/>
            <w:vAlign w:val="center"/>
          </w:tcPr>
          <w:p>
            <w:pPr>
              <w:adjustRightInd w:val="0"/>
              <w:snapToGrid w:val="0"/>
              <w:jc w:val="center"/>
              <w:rPr>
                <w:rFonts w:ascii="Times New Roman" w:hAnsi="Times New Roman" w:eastAsia="宋体" w:cs="Times New Roman"/>
                <w:color w:val="auto"/>
                <w:kern w:val="2"/>
                <w:sz w:val="21"/>
                <w:szCs w:val="21"/>
                <w:lang w:val="en-US" w:eastAsia="zh-CN" w:bidi="ar-SA"/>
              </w:rPr>
            </w:pPr>
            <w:r>
              <w:rPr>
                <w:rFonts w:hint="eastAsia"/>
                <w:color w:val="auto"/>
                <w:szCs w:val="21"/>
              </w:rPr>
              <w:t>/</w:t>
            </w:r>
          </w:p>
        </w:tc>
        <w:tc>
          <w:tcPr>
            <w:tcW w:w="846" w:type="pct"/>
            <w:vAlign w:val="center"/>
          </w:tcPr>
          <w:p>
            <w:pPr>
              <w:adjustRightInd w:val="0"/>
              <w:snapToGrid w:val="0"/>
              <w:jc w:val="center"/>
              <w:rPr>
                <w:rFonts w:ascii="Times New Roman" w:hAnsi="Times New Roman" w:eastAsia="宋体" w:cs="Times New Roman"/>
                <w:color w:val="auto"/>
                <w:kern w:val="2"/>
                <w:sz w:val="21"/>
                <w:szCs w:val="21"/>
                <w:lang w:val="en-US" w:eastAsia="zh-CN" w:bidi="ar-SA"/>
              </w:rPr>
            </w:pPr>
            <w:r>
              <w:rPr>
                <w:rFonts w:hint="eastAsia"/>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4" w:type="pct"/>
            <w:vMerge w:val="continue"/>
            <w:vAlign w:val="center"/>
          </w:tcPr>
          <w:p>
            <w:pPr>
              <w:adjustRightInd w:val="0"/>
              <w:snapToGrid w:val="0"/>
              <w:jc w:val="center"/>
              <w:rPr>
                <w:color w:val="auto"/>
                <w:szCs w:val="21"/>
              </w:rPr>
            </w:pPr>
          </w:p>
        </w:tc>
        <w:tc>
          <w:tcPr>
            <w:tcW w:w="1155" w:type="pct"/>
            <w:vAlign w:val="center"/>
          </w:tcPr>
          <w:p>
            <w:pPr>
              <w:autoSpaceDE w:val="0"/>
              <w:autoSpaceDN w:val="0"/>
              <w:adjustRightInd w:val="0"/>
              <w:jc w:val="center"/>
              <w:rPr>
                <w:rFonts w:hint="eastAsia" w:ascii="宋体" w:cs="宋体"/>
                <w:color w:val="auto"/>
                <w:kern w:val="0"/>
                <w:szCs w:val="21"/>
              </w:rPr>
            </w:pPr>
            <w:r>
              <w:rPr>
                <w:rFonts w:hint="eastAsia" w:ascii="宋体" w:cs="宋体"/>
                <w:color w:val="auto"/>
                <w:kern w:val="0"/>
                <w:szCs w:val="21"/>
                <w:lang w:val="en-US" w:eastAsia="zh-CN"/>
              </w:rPr>
              <w:t>声环境：武学村、石滚坝、新生村各一个点，施工高峰期昼夜各一次</w:t>
            </w:r>
          </w:p>
        </w:tc>
        <w:tc>
          <w:tcPr>
            <w:tcW w:w="966" w:type="pct"/>
            <w:vAlign w:val="center"/>
          </w:tcPr>
          <w:p>
            <w:pPr>
              <w:autoSpaceDE w:val="0"/>
              <w:autoSpaceDN w:val="0"/>
              <w:adjustRightIn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《声环境质量标准》（GB3096-2008）</w:t>
            </w:r>
            <w:bookmarkStart w:id="12" w:name="_GoBack"/>
            <w:bookmarkEnd w:id="12"/>
            <w:r>
              <w:rPr>
                <w:rFonts w:hint="default" w:ascii="Times New Roman" w:hAnsi="Times New Roman" w:cs="Times New Roman"/>
                <w:color w:val="auto"/>
                <w:kern w:val="0"/>
                <w:szCs w:val="21"/>
                <w:lang w:val="en-US" w:eastAsia="zh-CN"/>
              </w:rPr>
              <w:t>2类标准</w:t>
            </w:r>
          </w:p>
        </w:tc>
        <w:tc>
          <w:tcPr>
            <w:tcW w:w="886" w:type="pct"/>
            <w:vAlign w:val="center"/>
          </w:tcPr>
          <w:p>
            <w:pPr>
              <w:adjustRightInd w:val="0"/>
              <w:snapToGrid w:val="0"/>
              <w:jc w:val="center"/>
              <w:rPr>
                <w:rFonts w:hint="eastAsia"/>
                <w:color w:val="auto"/>
                <w:szCs w:val="21"/>
              </w:rPr>
            </w:pPr>
          </w:p>
        </w:tc>
        <w:tc>
          <w:tcPr>
            <w:tcW w:w="846" w:type="pct"/>
            <w:vAlign w:val="center"/>
          </w:tcPr>
          <w:p>
            <w:pPr>
              <w:adjustRightInd w:val="0"/>
              <w:snapToGrid w:val="0"/>
              <w:jc w:val="center"/>
              <w:rPr>
                <w:rFonts w:hint="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4" w:type="pct"/>
            <w:vAlign w:val="center"/>
          </w:tcPr>
          <w:p>
            <w:pPr>
              <w:adjustRightInd w:val="0"/>
              <w:snapToGrid w:val="0"/>
              <w:jc w:val="center"/>
              <w:rPr>
                <w:color w:val="auto"/>
                <w:szCs w:val="21"/>
              </w:rPr>
            </w:pPr>
            <w:r>
              <w:rPr>
                <w:color w:val="auto"/>
                <w:szCs w:val="21"/>
              </w:rPr>
              <w:t>其他</w:t>
            </w:r>
          </w:p>
        </w:tc>
        <w:tc>
          <w:tcPr>
            <w:tcW w:w="1155" w:type="pct"/>
            <w:vAlign w:val="center"/>
          </w:tcPr>
          <w:p>
            <w:pPr>
              <w:adjustRightInd w:val="0"/>
              <w:snapToGrid w:val="0"/>
              <w:jc w:val="center"/>
              <w:rPr>
                <w:color w:val="auto"/>
                <w:szCs w:val="21"/>
              </w:rPr>
            </w:pPr>
            <w:r>
              <w:rPr>
                <w:color w:val="auto"/>
                <w:szCs w:val="21"/>
              </w:rPr>
              <w:t>/</w:t>
            </w:r>
          </w:p>
        </w:tc>
        <w:tc>
          <w:tcPr>
            <w:tcW w:w="966" w:type="pct"/>
            <w:vAlign w:val="center"/>
          </w:tcPr>
          <w:p>
            <w:pPr>
              <w:adjustRightInd w:val="0"/>
              <w:snapToGrid w:val="0"/>
              <w:jc w:val="center"/>
              <w:rPr>
                <w:color w:val="auto"/>
                <w:szCs w:val="21"/>
              </w:rPr>
            </w:pPr>
            <w:r>
              <w:rPr>
                <w:color w:val="auto"/>
                <w:szCs w:val="21"/>
              </w:rPr>
              <w:t>/</w:t>
            </w:r>
          </w:p>
        </w:tc>
        <w:tc>
          <w:tcPr>
            <w:tcW w:w="886" w:type="pct"/>
            <w:vAlign w:val="center"/>
          </w:tcPr>
          <w:p>
            <w:pPr>
              <w:adjustRightInd w:val="0"/>
              <w:snapToGrid w:val="0"/>
              <w:jc w:val="center"/>
              <w:rPr>
                <w:color w:val="auto"/>
                <w:szCs w:val="21"/>
              </w:rPr>
            </w:pPr>
            <w:r>
              <w:rPr>
                <w:color w:val="auto"/>
                <w:szCs w:val="21"/>
              </w:rPr>
              <w:t>/</w:t>
            </w:r>
          </w:p>
        </w:tc>
        <w:tc>
          <w:tcPr>
            <w:tcW w:w="846" w:type="pct"/>
            <w:vAlign w:val="center"/>
          </w:tcPr>
          <w:p>
            <w:pPr>
              <w:adjustRightInd w:val="0"/>
              <w:snapToGrid w:val="0"/>
              <w:jc w:val="center"/>
              <w:rPr>
                <w:color w:val="auto"/>
                <w:szCs w:val="21"/>
              </w:rPr>
            </w:pPr>
            <w:r>
              <w:rPr>
                <w:color w:val="auto"/>
                <w:szCs w:val="21"/>
              </w:rPr>
              <w:t>/</w:t>
            </w:r>
          </w:p>
        </w:tc>
      </w:tr>
    </w:tbl>
    <w:p>
      <w:pPr>
        <w:pStyle w:val="15"/>
        <w:jc w:val="center"/>
        <w:outlineLvl w:val="0"/>
        <w:rPr>
          <w:rFonts w:ascii="Times New Roman" w:hAnsi="Times New Roman" w:eastAsia="黑体"/>
          <w:snapToGrid w:val="0"/>
          <w:color w:val="auto"/>
          <w:sz w:val="30"/>
          <w:szCs w:val="30"/>
        </w:rPr>
      </w:pPr>
    </w:p>
    <w:p>
      <w:pPr>
        <w:pStyle w:val="15"/>
        <w:spacing w:before="0" w:beforeAutospacing="0" w:line="14" w:lineRule="auto"/>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br w:type="page"/>
      </w:r>
    </w:p>
    <w:p>
      <w:pPr>
        <w:pStyle w:val="15"/>
        <w:spacing w:before="192" w:beforeLines="80" w:beforeAutospacing="0"/>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七、结论</w:t>
      </w:r>
    </w:p>
    <w:tbl>
      <w:tblPr>
        <w:tblStyle w:val="18"/>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49" w:hRule="atLeast"/>
          <w:jc w:val="center"/>
        </w:trPr>
        <w:tc>
          <w:tcPr>
            <w:tcW w:w="9289"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color w:val="auto"/>
                <w:kern w:val="2"/>
                <w:szCs w:val="24"/>
              </w:rPr>
            </w:pPr>
            <w:r>
              <w:rPr>
                <w:rFonts w:hint="eastAsia"/>
                <w:color w:val="auto"/>
                <w:szCs w:val="24"/>
              </w:rPr>
              <w:t>综上所述，本项目符合国家产业政策和相关规划，选址合理。项目在采取相应的污染防治措施后，各类污染物均能达标排放，对所在区域的环境质量影响可接受，符合区域环境功能区划的要求。从满足环境质量目标要求角度分析，该项目的建设是可行的。</w:t>
            </w:r>
          </w:p>
          <w:p>
            <w:pPr>
              <w:adjustRightInd w:val="0"/>
              <w:snapToGrid w:val="0"/>
              <w:ind w:firstLine="315"/>
              <w:rPr>
                <w:color w:val="auto"/>
                <w:szCs w:val="21"/>
                <w:highlight w:val="black"/>
              </w:rPr>
            </w:pPr>
          </w:p>
        </w:tc>
      </w:tr>
    </w:tbl>
    <w:p>
      <w:pPr>
        <w:rPr>
          <w:color w:val="auto"/>
        </w:rPr>
      </w:pPr>
    </w:p>
    <w:p>
      <w:pPr>
        <w:pStyle w:val="15"/>
        <w:adjustRightInd w:val="0"/>
        <w:snapToGrid w:val="0"/>
        <w:spacing w:before="0" w:beforeAutospacing="0" w:after="0" w:afterAutospacing="0" w:line="648" w:lineRule="auto"/>
        <w:outlineLvl w:val="0"/>
        <w:rPr>
          <w:rFonts w:ascii="Times New Roman" w:hAnsi="Times New Roman" w:eastAsia="黑体"/>
          <w:snapToGrid w:val="0"/>
          <w:color w:val="auto"/>
          <w:sz w:val="32"/>
          <w:szCs w:val="32"/>
        </w:rPr>
      </w:pPr>
      <w:r>
        <w:rPr>
          <w:rFonts w:ascii="Times New Roman" w:hAnsi="Times New Roman" w:eastAsia="黑体"/>
          <w:snapToGrid w:val="0"/>
          <w:color w:val="auto"/>
          <w:sz w:val="32"/>
          <w:szCs w:val="32"/>
        </w:rPr>
        <w:br w:type="page"/>
      </w:r>
      <w:r>
        <w:rPr>
          <w:rFonts w:ascii="Times New Roman" w:hAnsi="Times New Roman" w:eastAsia="黑体"/>
          <w:snapToGrid w:val="0"/>
          <w:color w:val="auto"/>
          <w:sz w:val="32"/>
          <w:szCs w:val="32"/>
        </w:rPr>
        <w:t>附表</w:t>
      </w:r>
    </w:p>
    <w:p>
      <w:pPr>
        <w:pStyle w:val="15"/>
        <w:adjustRightInd w:val="0"/>
        <w:snapToGrid w:val="0"/>
        <w:spacing w:before="0" w:beforeAutospacing="0" w:after="0" w:afterAutospacing="0" w:line="552" w:lineRule="auto"/>
        <w:jc w:val="center"/>
        <w:rPr>
          <w:rFonts w:ascii="Times New Roman" w:hAnsi="Times New Roman" w:eastAsia="方正小标宋_GBK"/>
          <w:snapToGrid w:val="0"/>
          <w:color w:val="auto"/>
          <w:sz w:val="38"/>
          <w:szCs w:val="38"/>
        </w:rPr>
      </w:pPr>
      <w:r>
        <w:rPr>
          <w:rFonts w:ascii="Times New Roman" w:hAnsi="Times New Roman" w:eastAsia="方正小标宋_GBK"/>
          <w:snapToGrid w:val="0"/>
          <w:color w:val="auto"/>
          <w:sz w:val="38"/>
          <w:szCs w:val="38"/>
        </w:rPr>
        <w:t>编制单位和编制人员情况表</w:t>
      </w:r>
    </w:p>
    <w:tbl>
      <w:tblPr>
        <w:tblStyle w:val="18"/>
        <w:tblW w:w="88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2268"/>
        <w:gridCol w:w="1814"/>
        <w:gridCol w:w="2126"/>
        <w:gridCol w:w="1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项目编号</w:t>
            </w:r>
          </w:p>
        </w:tc>
        <w:tc>
          <w:tcPr>
            <w:tcW w:w="5266" w:type="dxa"/>
            <w:gridSpan w:val="3"/>
            <w:vAlign w:val="center"/>
          </w:tcPr>
          <w:p>
            <w:pPr>
              <w:pStyle w:val="15"/>
              <w:widowControl w:val="0"/>
              <w:adjustRightInd w:val="0"/>
              <w:snapToGrid w:val="0"/>
              <w:spacing w:before="0" w:beforeAutospacing="0" w:after="0" w:afterAutospacing="0"/>
              <w:jc w:val="both"/>
              <w:rPr>
                <w:rFonts w:ascii="Times New Roman" w:hAnsi="Times New Roman"/>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建设项目名称</w:t>
            </w:r>
          </w:p>
        </w:tc>
        <w:tc>
          <w:tcPr>
            <w:tcW w:w="5266" w:type="dxa"/>
            <w:gridSpan w:val="3"/>
            <w:vAlign w:val="center"/>
          </w:tcPr>
          <w:p>
            <w:pPr>
              <w:pStyle w:val="15"/>
              <w:widowControl w:val="0"/>
              <w:adjustRightInd w:val="0"/>
              <w:snapToGrid w:val="0"/>
              <w:spacing w:before="0" w:beforeAutospacing="0" w:after="0" w:afterAutospacing="0"/>
              <w:jc w:val="both"/>
              <w:rPr>
                <w:rFonts w:ascii="Times New Roman" w:hAnsi="Times New Roman"/>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建设项目类别</w:t>
            </w:r>
          </w:p>
        </w:tc>
        <w:tc>
          <w:tcPr>
            <w:tcW w:w="5266" w:type="dxa"/>
            <w:gridSpan w:val="3"/>
            <w:vAlign w:val="center"/>
          </w:tcPr>
          <w:p>
            <w:pPr>
              <w:pStyle w:val="15"/>
              <w:widowControl w:val="0"/>
              <w:adjustRightInd w:val="0"/>
              <w:snapToGrid w:val="0"/>
              <w:spacing w:before="0" w:beforeAutospacing="0" w:after="0" w:afterAutospacing="0"/>
              <w:jc w:val="both"/>
              <w:rPr>
                <w:rFonts w:ascii="Times New Roman" w:hAnsi="Times New Roman"/>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环境影响评价文件类型</w:t>
            </w:r>
          </w:p>
        </w:tc>
        <w:tc>
          <w:tcPr>
            <w:tcW w:w="5266" w:type="dxa"/>
            <w:gridSpan w:val="3"/>
            <w:vAlign w:val="center"/>
          </w:tcPr>
          <w:p>
            <w:pPr>
              <w:pStyle w:val="15"/>
              <w:widowControl w:val="0"/>
              <w:adjustRightInd w:val="0"/>
              <w:snapToGrid w:val="0"/>
              <w:spacing w:before="0" w:beforeAutospacing="0" w:after="0" w:afterAutospacing="0"/>
              <w:jc w:val="both"/>
              <w:rPr>
                <w:rFonts w:ascii="Times New Roman" w:hAnsi="Times New Roman"/>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35" w:type="dxa"/>
            <w:gridSpan w:val="5"/>
            <w:vAlign w:val="center"/>
          </w:tcPr>
          <w:p>
            <w:pPr>
              <w:pStyle w:val="15"/>
              <w:widowControl w:val="0"/>
              <w:adjustRightInd w:val="0"/>
              <w:snapToGrid w:val="0"/>
              <w:spacing w:before="0" w:beforeAutospacing="0" w:after="0" w:afterAutospacing="0"/>
              <w:jc w:val="both"/>
              <w:rPr>
                <w:rFonts w:ascii="Times New Roman" w:hAnsi="Times New Roman" w:eastAsia="黑体"/>
                <w:color w:val="auto"/>
                <w:kern w:val="2"/>
                <w:sz w:val="21"/>
                <w:szCs w:val="21"/>
              </w:rPr>
            </w:pPr>
            <w:r>
              <w:rPr>
                <w:rFonts w:ascii="Times New Roman" w:hAnsi="Times New Roman" w:eastAsia="黑体"/>
                <w:color w:val="auto"/>
                <w:kern w:val="2"/>
                <w:sz w:val="21"/>
                <w:szCs w:val="21"/>
              </w:rPr>
              <w:t>一、建设单位情况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单位名称（盖章）</w:t>
            </w:r>
          </w:p>
        </w:tc>
        <w:tc>
          <w:tcPr>
            <w:tcW w:w="5266" w:type="dxa"/>
            <w:gridSpan w:val="3"/>
            <w:vAlign w:val="center"/>
          </w:tcPr>
          <w:p>
            <w:pPr>
              <w:pStyle w:val="15"/>
              <w:widowControl w:val="0"/>
              <w:adjustRightInd w:val="0"/>
              <w:snapToGrid w:val="0"/>
              <w:spacing w:before="0" w:beforeAutospacing="0" w:after="0" w:afterAutospacing="0"/>
              <w:jc w:val="both"/>
              <w:rPr>
                <w:rFonts w:ascii="Times New Roman" w:hAnsi="Times New Roman"/>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统一社会信用代码</w:t>
            </w:r>
          </w:p>
        </w:tc>
        <w:tc>
          <w:tcPr>
            <w:tcW w:w="5266" w:type="dxa"/>
            <w:gridSpan w:val="3"/>
            <w:vAlign w:val="center"/>
          </w:tcPr>
          <w:p>
            <w:pPr>
              <w:pStyle w:val="15"/>
              <w:widowControl w:val="0"/>
              <w:adjustRightInd w:val="0"/>
              <w:snapToGrid w:val="0"/>
              <w:spacing w:before="0" w:beforeAutospacing="0" w:after="0" w:afterAutospacing="0"/>
              <w:jc w:val="both"/>
              <w:rPr>
                <w:rFonts w:ascii="Times New Roman" w:hAnsi="Times New Roman"/>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法定代表人（签章）</w:t>
            </w:r>
          </w:p>
        </w:tc>
        <w:tc>
          <w:tcPr>
            <w:tcW w:w="5266" w:type="dxa"/>
            <w:gridSpan w:val="3"/>
            <w:vAlign w:val="center"/>
          </w:tcPr>
          <w:p>
            <w:pPr>
              <w:pStyle w:val="15"/>
              <w:widowControl w:val="0"/>
              <w:adjustRightInd w:val="0"/>
              <w:snapToGrid w:val="0"/>
              <w:spacing w:before="0" w:beforeAutospacing="0" w:after="0" w:afterAutospacing="0"/>
              <w:jc w:val="both"/>
              <w:rPr>
                <w:rFonts w:ascii="Times New Roman" w:hAnsi="Times New Roman"/>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主要负责人（签字）</w:t>
            </w:r>
          </w:p>
        </w:tc>
        <w:tc>
          <w:tcPr>
            <w:tcW w:w="5266" w:type="dxa"/>
            <w:gridSpan w:val="3"/>
            <w:vAlign w:val="center"/>
          </w:tcPr>
          <w:p>
            <w:pPr>
              <w:pStyle w:val="15"/>
              <w:widowControl w:val="0"/>
              <w:adjustRightInd w:val="0"/>
              <w:snapToGrid w:val="0"/>
              <w:spacing w:before="0" w:beforeAutospacing="0" w:after="0" w:afterAutospacing="0"/>
              <w:jc w:val="both"/>
              <w:rPr>
                <w:rFonts w:ascii="Times New Roman" w:hAnsi="Times New Roman"/>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直接负责的主管人员（签字）</w:t>
            </w:r>
          </w:p>
        </w:tc>
        <w:tc>
          <w:tcPr>
            <w:tcW w:w="5266" w:type="dxa"/>
            <w:gridSpan w:val="3"/>
            <w:vAlign w:val="center"/>
          </w:tcPr>
          <w:p>
            <w:pPr>
              <w:pStyle w:val="15"/>
              <w:widowControl w:val="0"/>
              <w:adjustRightInd w:val="0"/>
              <w:snapToGrid w:val="0"/>
              <w:spacing w:before="0" w:beforeAutospacing="0" w:after="0" w:afterAutospacing="0"/>
              <w:jc w:val="both"/>
              <w:rPr>
                <w:rFonts w:ascii="Times New Roman" w:hAnsi="Times New Roman"/>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35" w:type="dxa"/>
            <w:gridSpan w:val="5"/>
            <w:vAlign w:val="center"/>
          </w:tcPr>
          <w:p>
            <w:pPr>
              <w:pStyle w:val="15"/>
              <w:widowControl w:val="0"/>
              <w:adjustRightInd w:val="0"/>
              <w:snapToGrid w:val="0"/>
              <w:spacing w:before="0" w:beforeAutospacing="0" w:after="0" w:afterAutospacing="0"/>
              <w:jc w:val="both"/>
              <w:rPr>
                <w:rFonts w:ascii="Times New Roman" w:hAnsi="Times New Roman" w:eastAsia="黑体"/>
                <w:b/>
                <w:color w:val="auto"/>
                <w:kern w:val="2"/>
                <w:sz w:val="21"/>
                <w:szCs w:val="21"/>
              </w:rPr>
            </w:pPr>
            <w:r>
              <w:rPr>
                <w:rFonts w:ascii="Times New Roman" w:hAnsi="Times New Roman" w:eastAsia="黑体"/>
                <w:color w:val="auto"/>
                <w:kern w:val="2"/>
                <w:sz w:val="21"/>
                <w:szCs w:val="21"/>
              </w:rPr>
              <w:t>二、编制单位情况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单位名称（盖章）</w:t>
            </w:r>
          </w:p>
        </w:tc>
        <w:tc>
          <w:tcPr>
            <w:tcW w:w="5266" w:type="dxa"/>
            <w:gridSpan w:val="3"/>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统一社会信用代码</w:t>
            </w:r>
          </w:p>
        </w:tc>
        <w:tc>
          <w:tcPr>
            <w:tcW w:w="5266" w:type="dxa"/>
            <w:gridSpan w:val="3"/>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35" w:type="dxa"/>
            <w:gridSpan w:val="5"/>
            <w:vAlign w:val="center"/>
          </w:tcPr>
          <w:p>
            <w:pPr>
              <w:pStyle w:val="15"/>
              <w:widowControl w:val="0"/>
              <w:adjustRightInd w:val="0"/>
              <w:snapToGrid w:val="0"/>
              <w:spacing w:before="0" w:beforeAutospacing="0" w:after="0" w:afterAutospacing="0"/>
              <w:rPr>
                <w:rFonts w:ascii="Times New Roman" w:hAnsi="Times New Roman" w:eastAsia="黑体"/>
                <w:color w:val="auto"/>
                <w:kern w:val="2"/>
                <w:sz w:val="21"/>
                <w:szCs w:val="21"/>
              </w:rPr>
            </w:pPr>
            <w:r>
              <w:rPr>
                <w:rFonts w:ascii="Times New Roman" w:hAnsi="Times New Roman" w:eastAsia="黑体"/>
                <w:color w:val="auto"/>
                <w:kern w:val="2"/>
                <w:sz w:val="21"/>
                <w:szCs w:val="21"/>
              </w:rPr>
              <w:t>三、编制人员情况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35" w:type="dxa"/>
            <w:gridSpan w:val="5"/>
            <w:vAlign w:val="center"/>
          </w:tcPr>
          <w:p>
            <w:pPr>
              <w:pStyle w:val="15"/>
              <w:widowControl w:val="0"/>
              <w:adjustRightInd w:val="0"/>
              <w:snapToGrid w:val="0"/>
              <w:spacing w:before="0" w:beforeAutospacing="0" w:after="0" w:afterAutospacing="0"/>
              <w:rPr>
                <w:rFonts w:ascii="Times New Roman" w:hAnsi="Times New Roman"/>
                <w:color w:val="auto"/>
                <w:kern w:val="2"/>
                <w:sz w:val="21"/>
                <w:szCs w:val="21"/>
              </w:rPr>
            </w:pPr>
            <w:r>
              <w:rPr>
                <w:rFonts w:ascii="Times New Roman" w:hAnsi="Times New Roman"/>
                <w:color w:val="auto"/>
                <w:kern w:val="2"/>
                <w:sz w:val="21"/>
                <w:szCs w:val="21"/>
              </w:rPr>
              <w:t>1.编制主持人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01" w:type="dxa"/>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姓名</w:t>
            </w:r>
          </w:p>
        </w:tc>
        <w:tc>
          <w:tcPr>
            <w:tcW w:w="4082" w:type="dxa"/>
            <w:gridSpan w:val="2"/>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职业资格证书管理号</w:t>
            </w:r>
          </w:p>
        </w:tc>
        <w:tc>
          <w:tcPr>
            <w:tcW w:w="2126" w:type="dxa"/>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信用编号</w:t>
            </w:r>
          </w:p>
        </w:tc>
        <w:tc>
          <w:tcPr>
            <w:tcW w:w="1326" w:type="dxa"/>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01" w:type="dxa"/>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p>
        </w:tc>
        <w:tc>
          <w:tcPr>
            <w:tcW w:w="4082" w:type="dxa"/>
            <w:gridSpan w:val="2"/>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p>
        </w:tc>
        <w:tc>
          <w:tcPr>
            <w:tcW w:w="2126" w:type="dxa"/>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p>
        </w:tc>
        <w:tc>
          <w:tcPr>
            <w:tcW w:w="1326" w:type="dxa"/>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35" w:type="dxa"/>
            <w:gridSpan w:val="5"/>
            <w:vAlign w:val="center"/>
          </w:tcPr>
          <w:p>
            <w:pPr>
              <w:pStyle w:val="15"/>
              <w:widowControl w:val="0"/>
              <w:adjustRightInd w:val="0"/>
              <w:snapToGrid w:val="0"/>
              <w:spacing w:before="0" w:beforeAutospacing="0" w:after="0" w:afterAutospacing="0"/>
              <w:rPr>
                <w:rFonts w:ascii="Times New Roman" w:hAnsi="Times New Roman"/>
                <w:color w:val="auto"/>
                <w:kern w:val="2"/>
                <w:sz w:val="21"/>
                <w:szCs w:val="21"/>
              </w:rPr>
            </w:pPr>
            <w:r>
              <w:rPr>
                <w:rFonts w:ascii="Times New Roman" w:hAnsi="Times New Roman"/>
                <w:color w:val="auto"/>
                <w:kern w:val="2"/>
                <w:sz w:val="21"/>
                <w:szCs w:val="21"/>
              </w:rPr>
              <w:t>2.主要编制人员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01" w:type="dxa"/>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姓名</w:t>
            </w:r>
          </w:p>
        </w:tc>
        <w:tc>
          <w:tcPr>
            <w:tcW w:w="4082" w:type="dxa"/>
            <w:gridSpan w:val="2"/>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主要编写内容</w:t>
            </w:r>
          </w:p>
        </w:tc>
        <w:tc>
          <w:tcPr>
            <w:tcW w:w="2126" w:type="dxa"/>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信用编号</w:t>
            </w:r>
          </w:p>
        </w:tc>
        <w:tc>
          <w:tcPr>
            <w:tcW w:w="1326" w:type="dxa"/>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01" w:type="dxa"/>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p>
        </w:tc>
        <w:tc>
          <w:tcPr>
            <w:tcW w:w="4082" w:type="dxa"/>
            <w:gridSpan w:val="2"/>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p>
        </w:tc>
        <w:tc>
          <w:tcPr>
            <w:tcW w:w="2126" w:type="dxa"/>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p>
        </w:tc>
        <w:tc>
          <w:tcPr>
            <w:tcW w:w="1326" w:type="dxa"/>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01" w:type="dxa"/>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p>
        </w:tc>
        <w:tc>
          <w:tcPr>
            <w:tcW w:w="4082" w:type="dxa"/>
            <w:gridSpan w:val="2"/>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p>
        </w:tc>
        <w:tc>
          <w:tcPr>
            <w:tcW w:w="2126" w:type="dxa"/>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p>
        </w:tc>
        <w:tc>
          <w:tcPr>
            <w:tcW w:w="1326" w:type="dxa"/>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01" w:type="dxa"/>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p>
        </w:tc>
        <w:tc>
          <w:tcPr>
            <w:tcW w:w="4082" w:type="dxa"/>
            <w:gridSpan w:val="2"/>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p>
        </w:tc>
        <w:tc>
          <w:tcPr>
            <w:tcW w:w="2126" w:type="dxa"/>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p>
        </w:tc>
        <w:tc>
          <w:tcPr>
            <w:tcW w:w="1326" w:type="dxa"/>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1" w:type="dxa"/>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p>
        </w:tc>
        <w:tc>
          <w:tcPr>
            <w:tcW w:w="4082" w:type="dxa"/>
            <w:gridSpan w:val="2"/>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p>
        </w:tc>
        <w:tc>
          <w:tcPr>
            <w:tcW w:w="2126" w:type="dxa"/>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p>
        </w:tc>
        <w:tc>
          <w:tcPr>
            <w:tcW w:w="1326" w:type="dxa"/>
            <w:vAlign w:val="center"/>
          </w:tcPr>
          <w:p>
            <w:pPr>
              <w:pStyle w:val="15"/>
              <w:widowControl w:val="0"/>
              <w:adjustRightInd w:val="0"/>
              <w:snapToGrid w:val="0"/>
              <w:spacing w:before="0" w:beforeAutospacing="0" w:after="0" w:afterAutospacing="0"/>
              <w:jc w:val="center"/>
              <w:rPr>
                <w:rFonts w:ascii="Times New Roman" w:hAnsi="Times New Roman"/>
                <w:color w:val="auto"/>
                <w:kern w:val="2"/>
                <w:sz w:val="21"/>
                <w:szCs w:val="21"/>
              </w:rPr>
            </w:pPr>
          </w:p>
        </w:tc>
      </w:tr>
    </w:tbl>
    <w:p>
      <w:pPr>
        <w:adjustRightInd w:val="0"/>
        <w:snapToGrid w:val="0"/>
        <w:spacing w:before="192" w:beforeLines="80"/>
        <w:rPr>
          <w:color w:val="auto"/>
          <w:szCs w:val="21"/>
        </w:rPr>
      </w:pPr>
      <w:r>
        <w:rPr>
          <w:color w:val="auto"/>
          <w:szCs w:val="21"/>
        </w:rPr>
        <w:t>注：该表由环境影响评价信用平台自动生成</w:t>
      </w:r>
    </w:p>
    <w:p>
      <w:pPr>
        <w:widowControl/>
        <w:adjustRightInd w:val="0"/>
        <w:snapToGrid w:val="0"/>
        <w:spacing w:before="192" w:beforeLines="80"/>
        <w:jc w:val="left"/>
        <w:rPr>
          <w:color w:val="auto"/>
        </w:rPr>
      </w:pPr>
    </w:p>
    <w:sectPr>
      <w:pgSz w:w="11906" w:h="16838"/>
      <w:pgMar w:top="1440" w:right="1800" w:bottom="1440" w:left="1800" w:header="851" w:footer="1077"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Cambria">
    <w:panose1 w:val="02040503050406030204"/>
    <w:charset w:val="00"/>
    <w:family w:val="roman"/>
    <w:pitch w:val="default"/>
    <w:sig w:usb0="A00002EF" w:usb1="4000004B" w:usb2="00000000" w:usb3="00000000" w:csb0="2000009F"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10" w:usb3="00000000" w:csb0="0004009F" w:csb1="00000000"/>
  </w:font>
  <w:font w:name="仿宋">
    <w:altName w:val="微软雅黑"/>
    <w:panose1 w:val="02010609060101010101"/>
    <w:charset w:val="86"/>
    <w:family w:val="auto"/>
    <w:pitch w:val="default"/>
    <w:sig w:usb0="00000000" w:usb1="00000000"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YTViOTRhZTBmZGQ0NTMyMmMxYWJmY2NiZTcyM2UifQ=="/>
  </w:docVars>
  <w:rsids>
    <w:rsidRoot w:val="00A14947"/>
    <w:rsid w:val="00001CED"/>
    <w:rsid w:val="00001E67"/>
    <w:rsid w:val="00003CD8"/>
    <w:rsid w:val="00011FB8"/>
    <w:rsid w:val="00014965"/>
    <w:rsid w:val="0001523A"/>
    <w:rsid w:val="00016ECB"/>
    <w:rsid w:val="0002543F"/>
    <w:rsid w:val="000269F6"/>
    <w:rsid w:val="00031939"/>
    <w:rsid w:val="00032574"/>
    <w:rsid w:val="00032D25"/>
    <w:rsid w:val="00034E4A"/>
    <w:rsid w:val="0005219D"/>
    <w:rsid w:val="0005568F"/>
    <w:rsid w:val="0006153D"/>
    <w:rsid w:val="00061B1F"/>
    <w:rsid w:val="00065636"/>
    <w:rsid w:val="000664DB"/>
    <w:rsid w:val="0007127D"/>
    <w:rsid w:val="00071AE5"/>
    <w:rsid w:val="00074783"/>
    <w:rsid w:val="000801E0"/>
    <w:rsid w:val="00082A29"/>
    <w:rsid w:val="0008331D"/>
    <w:rsid w:val="00083C18"/>
    <w:rsid w:val="00092899"/>
    <w:rsid w:val="00095E2B"/>
    <w:rsid w:val="000A178E"/>
    <w:rsid w:val="000A557E"/>
    <w:rsid w:val="000B058F"/>
    <w:rsid w:val="000B693F"/>
    <w:rsid w:val="000C09AC"/>
    <w:rsid w:val="000C0A63"/>
    <w:rsid w:val="000C437E"/>
    <w:rsid w:val="000E0BA5"/>
    <w:rsid w:val="000E5623"/>
    <w:rsid w:val="000E5F16"/>
    <w:rsid w:val="000F4452"/>
    <w:rsid w:val="000F6DA1"/>
    <w:rsid w:val="000F701B"/>
    <w:rsid w:val="00103305"/>
    <w:rsid w:val="001056A0"/>
    <w:rsid w:val="00115279"/>
    <w:rsid w:val="00117459"/>
    <w:rsid w:val="0011749A"/>
    <w:rsid w:val="00127A68"/>
    <w:rsid w:val="00140B13"/>
    <w:rsid w:val="00141B68"/>
    <w:rsid w:val="001466DA"/>
    <w:rsid w:val="00154DE1"/>
    <w:rsid w:val="00155B40"/>
    <w:rsid w:val="00157435"/>
    <w:rsid w:val="00163EEA"/>
    <w:rsid w:val="00164641"/>
    <w:rsid w:val="0016485D"/>
    <w:rsid w:val="00167A07"/>
    <w:rsid w:val="0017046A"/>
    <w:rsid w:val="001704A3"/>
    <w:rsid w:val="001731AF"/>
    <w:rsid w:val="0017504D"/>
    <w:rsid w:val="00177422"/>
    <w:rsid w:val="00184F10"/>
    <w:rsid w:val="00185546"/>
    <w:rsid w:val="0018798F"/>
    <w:rsid w:val="0019146B"/>
    <w:rsid w:val="00194398"/>
    <w:rsid w:val="001A7D2A"/>
    <w:rsid w:val="001B06E9"/>
    <w:rsid w:val="001B47ED"/>
    <w:rsid w:val="001B574C"/>
    <w:rsid w:val="001B6CBF"/>
    <w:rsid w:val="001C0AF9"/>
    <w:rsid w:val="001C155A"/>
    <w:rsid w:val="001C48C0"/>
    <w:rsid w:val="001C6584"/>
    <w:rsid w:val="001D6726"/>
    <w:rsid w:val="001E3D07"/>
    <w:rsid w:val="001F3347"/>
    <w:rsid w:val="001F4440"/>
    <w:rsid w:val="001F69E4"/>
    <w:rsid w:val="00204F91"/>
    <w:rsid w:val="00206A65"/>
    <w:rsid w:val="00212D31"/>
    <w:rsid w:val="002130C7"/>
    <w:rsid w:val="002218A8"/>
    <w:rsid w:val="0022306D"/>
    <w:rsid w:val="00226574"/>
    <w:rsid w:val="002278EC"/>
    <w:rsid w:val="002357C7"/>
    <w:rsid w:val="00235C7B"/>
    <w:rsid w:val="002367C4"/>
    <w:rsid w:val="00251E84"/>
    <w:rsid w:val="0025679E"/>
    <w:rsid w:val="00260A1D"/>
    <w:rsid w:val="00260C68"/>
    <w:rsid w:val="002648B0"/>
    <w:rsid w:val="00275271"/>
    <w:rsid w:val="0027535E"/>
    <w:rsid w:val="00275AA6"/>
    <w:rsid w:val="00277BBA"/>
    <w:rsid w:val="002807D5"/>
    <w:rsid w:val="0028275D"/>
    <w:rsid w:val="00282CCD"/>
    <w:rsid w:val="002A168C"/>
    <w:rsid w:val="002A1B8F"/>
    <w:rsid w:val="002A2C48"/>
    <w:rsid w:val="002A3EED"/>
    <w:rsid w:val="002A4A39"/>
    <w:rsid w:val="002A5A17"/>
    <w:rsid w:val="002A6425"/>
    <w:rsid w:val="002B49E2"/>
    <w:rsid w:val="002B7B00"/>
    <w:rsid w:val="002B7C44"/>
    <w:rsid w:val="002C1388"/>
    <w:rsid w:val="002C3C6A"/>
    <w:rsid w:val="002D42DB"/>
    <w:rsid w:val="002D7B14"/>
    <w:rsid w:val="002E1F3A"/>
    <w:rsid w:val="002E298A"/>
    <w:rsid w:val="002F02A4"/>
    <w:rsid w:val="002F272B"/>
    <w:rsid w:val="002F7C6D"/>
    <w:rsid w:val="003027E4"/>
    <w:rsid w:val="0030332C"/>
    <w:rsid w:val="00312296"/>
    <w:rsid w:val="0031340E"/>
    <w:rsid w:val="00316464"/>
    <w:rsid w:val="0032073A"/>
    <w:rsid w:val="00321D8E"/>
    <w:rsid w:val="00334996"/>
    <w:rsid w:val="00336969"/>
    <w:rsid w:val="00336C52"/>
    <w:rsid w:val="00336FAE"/>
    <w:rsid w:val="00341B3E"/>
    <w:rsid w:val="00341B42"/>
    <w:rsid w:val="00345154"/>
    <w:rsid w:val="0034560E"/>
    <w:rsid w:val="00350523"/>
    <w:rsid w:val="00352975"/>
    <w:rsid w:val="00354CCB"/>
    <w:rsid w:val="00356868"/>
    <w:rsid w:val="0036485B"/>
    <w:rsid w:val="00373B0D"/>
    <w:rsid w:val="00376988"/>
    <w:rsid w:val="00381A72"/>
    <w:rsid w:val="003949B0"/>
    <w:rsid w:val="003A1948"/>
    <w:rsid w:val="003B152A"/>
    <w:rsid w:val="003B545B"/>
    <w:rsid w:val="003C60B8"/>
    <w:rsid w:val="003D3EE9"/>
    <w:rsid w:val="003E7681"/>
    <w:rsid w:val="003F0809"/>
    <w:rsid w:val="003F611C"/>
    <w:rsid w:val="003F755C"/>
    <w:rsid w:val="00406F01"/>
    <w:rsid w:val="00411B36"/>
    <w:rsid w:val="004121D7"/>
    <w:rsid w:val="00416D50"/>
    <w:rsid w:val="00417772"/>
    <w:rsid w:val="00420E6A"/>
    <w:rsid w:val="00433CA9"/>
    <w:rsid w:val="0043521D"/>
    <w:rsid w:val="00442024"/>
    <w:rsid w:val="0044254C"/>
    <w:rsid w:val="00443F6A"/>
    <w:rsid w:val="00450A17"/>
    <w:rsid w:val="004550BE"/>
    <w:rsid w:val="00466321"/>
    <w:rsid w:val="004672AF"/>
    <w:rsid w:val="00470D0B"/>
    <w:rsid w:val="004727B0"/>
    <w:rsid w:val="00480247"/>
    <w:rsid w:val="0048081D"/>
    <w:rsid w:val="004809D1"/>
    <w:rsid w:val="0048117E"/>
    <w:rsid w:val="004855F6"/>
    <w:rsid w:val="00486F0C"/>
    <w:rsid w:val="00492BA7"/>
    <w:rsid w:val="00494670"/>
    <w:rsid w:val="004A0EB4"/>
    <w:rsid w:val="004A3823"/>
    <w:rsid w:val="004A59BB"/>
    <w:rsid w:val="004B0C5B"/>
    <w:rsid w:val="004B43A3"/>
    <w:rsid w:val="004B4C49"/>
    <w:rsid w:val="004B58A5"/>
    <w:rsid w:val="004B63D9"/>
    <w:rsid w:val="004C0882"/>
    <w:rsid w:val="004C55BE"/>
    <w:rsid w:val="004D743F"/>
    <w:rsid w:val="004E5B30"/>
    <w:rsid w:val="004F0779"/>
    <w:rsid w:val="004F1230"/>
    <w:rsid w:val="004F173F"/>
    <w:rsid w:val="004F177C"/>
    <w:rsid w:val="004F2DCE"/>
    <w:rsid w:val="004F3E4F"/>
    <w:rsid w:val="004F5200"/>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54A7B"/>
    <w:rsid w:val="0055572C"/>
    <w:rsid w:val="00555D64"/>
    <w:rsid w:val="0056064F"/>
    <w:rsid w:val="00561B84"/>
    <w:rsid w:val="00571D98"/>
    <w:rsid w:val="005720AE"/>
    <w:rsid w:val="00577702"/>
    <w:rsid w:val="0058030D"/>
    <w:rsid w:val="00582045"/>
    <w:rsid w:val="00590AE3"/>
    <w:rsid w:val="005918F1"/>
    <w:rsid w:val="005A06B7"/>
    <w:rsid w:val="005A1759"/>
    <w:rsid w:val="005D0369"/>
    <w:rsid w:val="005D53FE"/>
    <w:rsid w:val="005D7A0F"/>
    <w:rsid w:val="005E0438"/>
    <w:rsid w:val="005E1791"/>
    <w:rsid w:val="005E2159"/>
    <w:rsid w:val="005E2CE6"/>
    <w:rsid w:val="005E6324"/>
    <w:rsid w:val="005E71A7"/>
    <w:rsid w:val="005F228B"/>
    <w:rsid w:val="005F29CD"/>
    <w:rsid w:val="005F4DFB"/>
    <w:rsid w:val="005F6CC0"/>
    <w:rsid w:val="00603E5B"/>
    <w:rsid w:val="00604BC8"/>
    <w:rsid w:val="00615B4C"/>
    <w:rsid w:val="00615B5D"/>
    <w:rsid w:val="0062146F"/>
    <w:rsid w:val="006343AF"/>
    <w:rsid w:val="0063634A"/>
    <w:rsid w:val="0064250D"/>
    <w:rsid w:val="006535EB"/>
    <w:rsid w:val="0066096B"/>
    <w:rsid w:val="00663016"/>
    <w:rsid w:val="00674605"/>
    <w:rsid w:val="006748B8"/>
    <w:rsid w:val="00684AA7"/>
    <w:rsid w:val="0068535B"/>
    <w:rsid w:val="0068736E"/>
    <w:rsid w:val="0069290A"/>
    <w:rsid w:val="00695DFE"/>
    <w:rsid w:val="00697032"/>
    <w:rsid w:val="006975AC"/>
    <w:rsid w:val="006A15FB"/>
    <w:rsid w:val="006A72BF"/>
    <w:rsid w:val="006A7EC7"/>
    <w:rsid w:val="006B332A"/>
    <w:rsid w:val="006B33BD"/>
    <w:rsid w:val="006C3F75"/>
    <w:rsid w:val="006D170E"/>
    <w:rsid w:val="006E02D3"/>
    <w:rsid w:val="006E06AF"/>
    <w:rsid w:val="006F1789"/>
    <w:rsid w:val="00705ED2"/>
    <w:rsid w:val="00706C5D"/>
    <w:rsid w:val="007118E6"/>
    <w:rsid w:val="007225C9"/>
    <w:rsid w:val="00735CD7"/>
    <w:rsid w:val="007423EF"/>
    <w:rsid w:val="00754034"/>
    <w:rsid w:val="00754BF1"/>
    <w:rsid w:val="00755A30"/>
    <w:rsid w:val="00755E1C"/>
    <w:rsid w:val="00756556"/>
    <w:rsid w:val="0076132B"/>
    <w:rsid w:val="007623AE"/>
    <w:rsid w:val="00770B19"/>
    <w:rsid w:val="00774FA0"/>
    <w:rsid w:val="00776620"/>
    <w:rsid w:val="00777B6D"/>
    <w:rsid w:val="00782475"/>
    <w:rsid w:val="00784855"/>
    <w:rsid w:val="00784F39"/>
    <w:rsid w:val="0078545C"/>
    <w:rsid w:val="007906C4"/>
    <w:rsid w:val="0079327A"/>
    <w:rsid w:val="007940EA"/>
    <w:rsid w:val="007967E8"/>
    <w:rsid w:val="007A63F2"/>
    <w:rsid w:val="007B68DE"/>
    <w:rsid w:val="007C1857"/>
    <w:rsid w:val="007C514F"/>
    <w:rsid w:val="007D0F95"/>
    <w:rsid w:val="007D7ECB"/>
    <w:rsid w:val="007E25A1"/>
    <w:rsid w:val="007E4BD2"/>
    <w:rsid w:val="007E7145"/>
    <w:rsid w:val="007F3916"/>
    <w:rsid w:val="007F3C3A"/>
    <w:rsid w:val="00801179"/>
    <w:rsid w:val="00802479"/>
    <w:rsid w:val="00805372"/>
    <w:rsid w:val="00805B7B"/>
    <w:rsid w:val="0081293E"/>
    <w:rsid w:val="00814FFB"/>
    <w:rsid w:val="00820568"/>
    <w:rsid w:val="00821A82"/>
    <w:rsid w:val="00831A80"/>
    <w:rsid w:val="008332C8"/>
    <w:rsid w:val="00833743"/>
    <w:rsid w:val="008340A4"/>
    <w:rsid w:val="00836799"/>
    <w:rsid w:val="00837028"/>
    <w:rsid w:val="00837131"/>
    <w:rsid w:val="00845F57"/>
    <w:rsid w:val="008521E0"/>
    <w:rsid w:val="008525B0"/>
    <w:rsid w:val="00856DE8"/>
    <w:rsid w:val="00861445"/>
    <w:rsid w:val="00861676"/>
    <w:rsid w:val="00867CBC"/>
    <w:rsid w:val="008764D9"/>
    <w:rsid w:val="00876C30"/>
    <w:rsid w:val="00877017"/>
    <w:rsid w:val="008773C0"/>
    <w:rsid w:val="00880364"/>
    <w:rsid w:val="00886C4C"/>
    <w:rsid w:val="0088711C"/>
    <w:rsid w:val="00892ECF"/>
    <w:rsid w:val="00892F06"/>
    <w:rsid w:val="00894285"/>
    <w:rsid w:val="008A40AE"/>
    <w:rsid w:val="008A4E19"/>
    <w:rsid w:val="008A67C5"/>
    <w:rsid w:val="008B22E1"/>
    <w:rsid w:val="008B3C78"/>
    <w:rsid w:val="008B4AE9"/>
    <w:rsid w:val="008C30AD"/>
    <w:rsid w:val="008D068E"/>
    <w:rsid w:val="008D0F7A"/>
    <w:rsid w:val="008D63BE"/>
    <w:rsid w:val="008D66DB"/>
    <w:rsid w:val="008E0CFF"/>
    <w:rsid w:val="008E5D6B"/>
    <w:rsid w:val="008E689B"/>
    <w:rsid w:val="008E76F0"/>
    <w:rsid w:val="008F15FE"/>
    <w:rsid w:val="008F2A94"/>
    <w:rsid w:val="008F5187"/>
    <w:rsid w:val="008F709C"/>
    <w:rsid w:val="0090312B"/>
    <w:rsid w:val="00904961"/>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84458"/>
    <w:rsid w:val="00985283"/>
    <w:rsid w:val="00987322"/>
    <w:rsid w:val="0099633F"/>
    <w:rsid w:val="009A0F3B"/>
    <w:rsid w:val="009A72C7"/>
    <w:rsid w:val="009A7E71"/>
    <w:rsid w:val="009B0897"/>
    <w:rsid w:val="009C3A68"/>
    <w:rsid w:val="009C6BFD"/>
    <w:rsid w:val="009D0852"/>
    <w:rsid w:val="009D1FBF"/>
    <w:rsid w:val="009D392E"/>
    <w:rsid w:val="009E399C"/>
    <w:rsid w:val="009E43C1"/>
    <w:rsid w:val="009E7E95"/>
    <w:rsid w:val="009F116F"/>
    <w:rsid w:val="009F329E"/>
    <w:rsid w:val="009F7ED3"/>
    <w:rsid w:val="00A03607"/>
    <w:rsid w:val="00A047FF"/>
    <w:rsid w:val="00A04FEF"/>
    <w:rsid w:val="00A106F7"/>
    <w:rsid w:val="00A122CD"/>
    <w:rsid w:val="00A12A32"/>
    <w:rsid w:val="00A14248"/>
    <w:rsid w:val="00A14947"/>
    <w:rsid w:val="00A23DC5"/>
    <w:rsid w:val="00A34028"/>
    <w:rsid w:val="00A35568"/>
    <w:rsid w:val="00A37056"/>
    <w:rsid w:val="00A43373"/>
    <w:rsid w:val="00A4358F"/>
    <w:rsid w:val="00A46F67"/>
    <w:rsid w:val="00A54AA1"/>
    <w:rsid w:val="00A568FF"/>
    <w:rsid w:val="00A61496"/>
    <w:rsid w:val="00A61833"/>
    <w:rsid w:val="00A624C6"/>
    <w:rsid w:val="00A63CEC"/>
    <w:rsid w:val="00A7031E"/>
    <w:rsid w:val="00A728B1"/>
    <w:rsid w:val="00A763DE"/>
    <w:rsid w:val="00A803D6"/>
    <w:rsid w:val="00A81282"/>
    <w:rsid w:val="00A8713F"/>
    <w:rsid w:val="00A91167"/>
    <w:rsid w:val="00A9171C"/>
    <w:rsid w:val="00A92FFD"/>
    <w:rsid w:val="00A95975"/>
    <w:rsid w:val="00A9708D"/>
    <w:rsid w:val="00AA2C17"/>
    <w:rsid w:val="00AA38E7"/>
    <w:rsid w:val="00AA4172"/>
    <w:rsid w:val="00AB1914"/>
    <w:rsid w:val="00AB5330"/>
    <w:rsid w:val="00AB7747"/>
    <w:rsid w:val="00AC0185"/>
    <w:rsid w:val="00AC2532"/>
    <w:rsid w:val="00AD1507"/>
    <w:rsid w:val="00AD21F0"/>
    <w:rsid w:val="00AD5A70"/>
    <w:rsid w:val="00AD738B"/>
    <w:rsid w:val="00AE1BF4"/>
    <w:rsid w:val="00AE5D97"/>
    <w:rsid w:val="00AE6794"/>
    <w:rsid w:val="00B01110"/>
    <w:rsid w:val="00B02262"/>
    <w:rsid w:val="00B03CEC"/>
    <w:rsid w:val="00B1209F"/>
    <w:rsid w:val="00B12AD0"/>
    <w:rsid w:val="00B169B8"/>
    <w:rsid w:val="00B24F30"/>
    <w:rsid w:val="00B31ABF"/>
    <w:rsid w:val="00B335AE"/>
    <w:rsid w:val="00B37CE1"/>
    <w:rsid w:val="00B40ACF"/>
    <w:rsid w:val="00B46BAA"/>
    <w:rsid w:val="00B50B5F"/>
    <w:rsid w:val="00B54128"/>
    <w:rsid w:val="00B55826"/>
    <w:rsid w:val="00B55A33"/>
    <w:rsid w:val="00B60426"/>
    <w:rsid w:val="00B622DD"/>
    <w:rsid w:val="00B63522"/>
    <w:rsid w:val="00B76F1D"/>
    <w:rsid w:val="00B92A19"/>
    <w:rsid w:val="00B9544C"/>
    <w:rsid w:val="00BA29E9"/>
    <w:rsid w:val="00BB3618"/>
    <w:rsid w:val="00BC0C9E"/>
    <w:rsid w:val="00BC32DC"/>
    <w:rsid w:val="00BD1B51"/>
    <w:rsid w:val="00BD2905"/>
    <w:rsid w:val="00BD47F6"/>
    <w:rsid w:val="00BE312D"/>
    <w:rsid w:val="00BE3FCA"/>
    <w:rsid w:val="00BF78DF"/>
    <w:rsid w:val="00C0533C"/>
    <w:rsid w:val="00C05719"/>
    <w:rsid w:val="00C10578"/>
    <w:rsid w:val="00C14193"/>
    <w:rsid w:val="00C17D62"/>
    <w:rsid w:val="00C21FDC"/>
    <w:rsid w:val="00C24EE7"/>
    <w:rsid w:val="00C2596A"/>
    <w:rsid w:val="00C271BE"/>
    <w:rsid w:val="00C27425"/>
    <w:rsid w:val="00C313E9"/>
    <w:rsid w:val="00C328FE"/>
    <w:rsid w:val="00C33A05"/>
    <w:rsid w:val="00C42500"/>
    <w:rsid w:val="00C4409D"/>
    <w:rsid w:val="00C455BE"/>
    <w:rsid w:val="00C51E5F"/>
    <w:rsid w:val="00C61E4B"/>
    <w:rsid w:val="00C62E3A"/>
    <w:rsid w:val="00C64503"/>
    <w:rsid w:val="00C64A1F"/>
    <w:rsid w:val="00C64BFF"/>
    <w:rsid w:val="00C763C9"/>
    <w:rsid w:val="00C76983"/>
    <w:rsid w:val="00C80057"/>
    <w:rsid w:val="00C82C79"/>
    <w:rsid w:val="00C84753"/>
    <w:rsid w:val="00C91302"/>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CF4A66"/>
    <w:rsid w:val="00CF7040"/>
    <w:rsid w:val="00CF79EB"/>
    <w:rsid w:val="00D0072E"/>
    <w:rsid w:val="00D15727"/>
    <w:rsid w:val="00D16332"/>
    <w:rsid w:val="00D24972"/>
    <w:rsid w:val="00D2515E"/>
    <w:rsid w:val="00D308ED"/>
    <w:rsid w:val="00D5329F"/>
    <w:rsid w:val="00D56178"/>
    <w:rsid w:val="00D56CF0"/>
    <w:rsid w:val="00D56F5C"/>
    <w:rsid w:val="00D704B1"/>
    <w:rsid w:val="00D70B63"/>
    <w:rsid w:val="00D72B92"/>
    <w:rsid w:val="00D72ED4"/>
    <w:rsid w:val="00D73F61"/>
    <w:rsid w:val="00D754C0"/>
    <w:rsid w:val="00D776A2"/>
    <w:rsid w:val="00D801C4"/>
    <w:rsid w:val="00D90836"/>
    <w:rsid w:val="00D90A0A"/>
    <w:rsid w:val="00D95896"/>
    <w:rsid w:val="00D95CC6"/>
    <w:rsid w:val="00DA2DA3"/>
    <w:rsid w:val="00DA6615"/>
    <w:rsid w:val="00DA76AE"/>
    <w:rsid w:val="00DB181E"/>
    <w:rsid w:val="00DB1C7A"/>
    <w:rsid w:val="00DB2983"/>
    <w:rsid w:val="00DB343D"/>
    <w:rsid w:val="00DB5579"/>
    <w:rsid w:val="00DB5CFE"/>
    <w:rsid w:val="00DC72A6"/>
    <w:rsid w:val="00DD2113"/>
    <w:rsid w:val="00DD22B0"/>
    <w:rsid w:val="00DD265E"/>
    <w:rsid w:val="00DD3576"/>
    <w:rsid w:val="00DE1F7C"/>
    <w:rsid w:val="00DF1930"/>
    <w:rsid w:val="00DF514A"/>
    <w:rsid w:val="00E0358D"/>
    <w:rsid w:val="00E06327"/>
    <w:rsid w:val="00E07B78"/>
    <w:rsid w:val="00E2064B"/>
    <w:rsid w:val="00E25239"/>
    <w:rsid w:val="00E265B1"/>
    <w:rsid w:val="00E275B0"/>
    <w:rsid w:val="00E40B82"/>
    <w:rsid w:val="00E412D0"/>
    <w:rsid w:val="00E47CDB"/>
    <w:rsid w:val="00E566BC"/>
    <w:rsid w:val="00E60982"/>
    <w:rsid w:val="00E60C8D"/>
    <w:rsid w:val="00E6162F"/>
    <w:rsid w:val="00E6311B"/>
    <w:rsid w:val="00E65D97"/>
    <w:rsid w:val="00E67EFD"/>
    <w:rsid w:val="00E702DC"/>
    <w:rsid w:val="00E71FFB"/>
    <w:rsid w:val="00E76D1D"/>
    <w:rsid w:val="00E806F8"/>
    <w:rsid w:val="00E87752"/>
    <w:rsid w:val="00E8793B"/>
    <w:rsid w:val="00E90F81"/>
    <w:rsid w:val="00E91A6D"/>
    <w:rsid w:val="00E9242D"/>
    <w:rsid w:val="00EB041C"/>
    <w:rsid w:val="00EC5874"/>
    <w:rsid w:val="00EC789C"/>
    <w:rsid w:val="00ED192D"/>
    <w:rsid w:val="00ED30B4"/>
    <w:rsid w:val="00ED31F5"/>
    <w:rsid w:val="00EF01C3"/>
    <w:rsid w:val="00EF2759"/>
    <w:rsid w:val="00EF45EB"/>
    <w:rsid w:val="00EF5099"/>
    <w:rsid w:val="00EF5E33"/>
    <w:rsid w:val="00F00075"/>
    <w:rsid w:val="00F0117C"/>
    <w:rsid w:val="00F07822"/>
    <w:rsid w:val="00F15C95"/>
    <w:rsid w:val="00F22985"/>
    <w:rsid w:val="00F241AB"/>
    <w:rsid w:val="00F31382"/>
    <w:rsid w:val="00F35829"/>
    <w:rsid w:val="00F42868"/>
    <w:rsid w:val="00F465A7"/>
    <w:rsid w:val="00F50B7C"/>
    <w:rsid w:val="00F5202D"/>
    <w:rsid w:val="00F52CF6"/>
    <w:rsid w:val="00F54496"/>
    <w:rsid w:val="00F61097"/>
    <w:rsid w:val="00F61742"/>
    <w:rsid w:val="00F67A1D"/>
    <w:rsid w:val="00F74345"/>
    <w:rsid w:val="00F74441"/>
    <w:rsid w:val="00F771A4"/>
    <w:rsid w:val="00F77F30"/>
    <w:rsid w:val="00F82589"/>
    <w:rsid w:val="00F82B19"/>
    <w:rsid w:val="00F90AA7"/>
    <w:rsid w:val="00F90D5D"/>
    <w:rsid w:val="00F9212D"/>
    <w:rsid w:val="00FA2CC9"/>
    <w:rsid w:val="00FA301A"/>
    <w:rsid w:val="00FA406A"/>
    <w:rsid w:val="00FA5CB6"/>
    <w:rsid w:val="00FC66AC"/>
    <w:rsid w:val="00FD18F4"/>
    <w:rsid w:val="00FD74B4"/>
    <w:rsid w:val="00FD7FA0"/>
    <w:rsid w:val="00FE00E9"/>
    <w:rsid w:val="00FF6FCE"/>
    <w:rsid w:val="00FF7518"/>
    <w:rsid w:val="00FF765D"/>
    <w:rsid w:val="00FF7FD8"/>
    <w:rsid w:val="01CE4715"/>
    <w:rsid w:val="023B3A20"/>
    <w:rsid w:val="032D650E"/>
    <w:rsid w:val="03DC23A2"/>
    <w:rsid w:val="05742AC8"/>
    <w:rsid w:val="05C25589"/>
    <w:rsid w:val="05D22A45"/>
    <w:rsid w:val="06352F05"/>
    <w:rsid w:val="063E7D85"/>
    <w:rsid w:val="070875E0"/>
    <w:rsid w:val="07293586"/>
    <w:rsid w:val="07295285"/>
    <w:rsid w:val="07770C56"/>
    <w:rsid w:val="092217DD"/>
    <w:rsid w:val="093A7294"/>
    <w:rsid w:val="09D6723E"/>
    <w:rsid w:val="0A447FA5"/>
    <w:rsid w:val="0A5E26E7"/>
    <w:rsid w:val="0A8D4ADF"/>
    <w:rsid w:val="0AB25253"/>
    <w:rsid w:val="0B400C53"/>
    <w:rsid w:val="0BD27BF6"/>
    <w:rsid w:val="0BFB57A9"/>
    <w:rsid w:val="0E110D06"/>
    <w:rsid w:val="0E782F04"/>
    <w:rsid w:val="0ED30382"/>
    <w:rsid w:val="0F13775A"/>
    <w:rsid w:val="0F824699"/>
    <w:rsid w:val="0F9A112B"/>
    <w:rsid w:val="106D2F64"/>
    <w:rsid w:val="10B63710"/>
    <w:rsid w:val="10BA39AF"/>
    <w:rsid w:val="111C2F7A"/>
    <w:rsid w:val="113013DE"/>
    <w:rsid w:val="121F3E0E"/>
    <w:rsid w:val="122B06C2"/>
    <w:rsid w:val="124F633D"/>
    <w:rsid w:val="1305611C"/>
    <w:rsid w:val="13951726"/>
    <w:rsid w:val="14143A53"/>
    <w:rsid w:val="143202C6"/>
    <w:rsid w:val="14396509"/>
    <w:rsid w:val="1447165C"/>
    <w:rsid w:val="146A7FB4"/>
    <w:rsid w:val="154A7462"/>
    <w:rsid w:val="156D6CB4"/>
    <w:rsid w:val="1711641B"/>
    <w:rsid w:val="174D5C0F"/>
    <w:rsid w:val="17735226"/>
    <w:rsid w:val="181736BE"/>
    <w:rsid w:val="18767D02"/>
    <w:rsid w:val="19B66E06"/>
    <w:rsid w:val="1A1C66C0"/>
    <w:rsid w:val="1A42393B"/>
    <w:rsid w:val="1AE70ACE"/>
    <w:rsid w:val="1B046F80"/>
    <w:rsid w:val="1B3267B5"/>
    <w:rsid w:val="1B5D40E8"/>
    <w:rsid w:val="1BC25DC8"/>
    <w:rsid w:val="1BC92DA5"/>
    <w:rsid w:val="1BEA0798"/>
    <w:rsid w:val="1BEF6911"/>
    <w:rsid w:val="1C5E7925"/>
    <w:rsid w:val="1C887FC8"/>
    <w:rsid w:val="1D307F46"/>
    <w:rsid w:val="1D5F6196"/>
    <w:rsid w:val="1D6132A5"/>
    <w:rsid w:val="1D8E56D5"/>
    <w:rsid w:val="1DB02FC3"/>
    <w:rsid w:val="1E7A43DA"/>
    <w:rsid w:val="1E9C4BBD"/>
    <w:rsid w:val="1EB277FE"/>
    <w:rsid w:val="1FE7539E"/>
    <w:rsid w:val="20963CB8"/>
    <w:rsid w:val="20B07FB6"/>
    <w:rsid w:val="21395788"/>
    <w:rsid w:val="213B74B1"/>
    <w:rsid w:val="215A2310"/>
    <w:rsid w:val="21DE318A"/>
    <w:rsid w:val="21EF5B80"/>
    <w:rsid w:val="22576990"/>
    <w:rsid w:val="229C4EAB"/>
    <w:rsid w:val="22CB2283"/>
    <w:rsid w:val="248E3799"/>
    <w:rsid w:val="24933EB7"/>
    <w:rsid w:val="24DA73BA"/>
    <w:rsid w:val="24E14B42"/>
    <w:rsid w:val="252D53FE"/>
    <w:rsid w:val="25EC2D81"/>
    <w:rsid w:val="264528BD"/>
    <w:rsid w:val="26D97AF1"/>
    <w:rsid w:val="27D15DD1"/>
    <w:rsid w:val="28150BDB"/>
    <w:rsid w:val="283F7790"/>
    <w:rsid w:val="28A75FF3"/>
    <w:rsid w:val="28A76295"/>
    <w:rsid w:val="29206EB8"/>
    <w:rsid w:val="29BD3E99"/>
    <w:rsid w:val="29E325E0"/>
    <w:rsid w:val="2A452503"/>
    <w:rsid w:val="2B3C4AFD"/>
    <w:rsid w:val="2BA936A8"/>
    <w:rsid w:val="2BA963FB"/>
    <w:rsid w:val="2BEB6CE1"/>
    <w:rsid w:val="2C315A5A"/>
    <w:rsid w:val="2C3C43A1"/>
    <w:rsid w:val="2C3F44FD"/>
    <w:rsid w:val="2C753FC5"/>
    <w:rsid w:val="2CD63695"/>
    <w:rsid w:val="2D9C5080"/>
    <w:rsid w:val="2D9E56F5"/>
    <w:rsid w:val="2E667F96"/>
    <w:rsid w:val="2E8226AB"/>
    <w:rsid w:val="2F832C79"/>
    <w:rsid w:val="2FEF2D58"/>
    <w:rsid w:val="30580BC9"/>
    <w:rsid w:val="308C66BA"/>
    <w:rsid w:val="311E2ED7"/>
    <w:rsid w:val="315C449C"/>
    <w:rsid w:val="31B82709"/>
    <w:rsid w:val="32400B34"/>
    <w:rsid w:val="32692F74"/>
    <w:rsid w:val="329E6876"/>
    <w:rsid w:val="33762CE0"/>
    <w:rsid w:val="33D934D4"/>
    <w:rsid w:val="33F969E7"/>
    <w:rsid w:val="33FE2F6A"/>
    <w:rsid w:val="348E5C09"/>
    <w:rsid w:val="36074A7F"/>
    <w:rsid w:val="3623159F"/>
    <w:rsid w:val="36884B5B"/>
    <w:rsid w:val="36923549"/>
    <w:rsid w:val="36B75FBF"/>
    <w:rsid w:val="36F731EA"/>
    <w:rsid w:val="36FB4891"/>
    <w:rsid w:val="388A0E05"/>
    <w:rsid w:val="38F12CD3"/>
    <w:rsid w:val="38F94775"/>
    <w:rsid w:val="392971ED"/>
    <w:rsid w:val="393434DF"/>
    <w:rsid w:val="3B3763D1"/>
    <w:rsid w:val="3CCD612A"/>
    <w:rsid w:val="3CDA245A"/>
    <w:rsid w:val="3CEE0A37"/>
    <w:rsid w:val="3D4A476F"/>
    <w:rsid w:val="3DCE0165"/>
    <w:rsid w:val="3E7D063E"/>
    <w:rsid w:val="3E9B5727"/>
    <w:rsid w:val="3EBB254D"/>
    <w:rsid w:val="3EC90524"/>
    <w:rsid w:val="3EF81F1E"/>
    <w:rsid w:val="3F660E74"/>
    <w:rsid w:val="407A6407"/>
    <w:rsid w:val="40842F0A"/>
    <w:rsid w:val="41B578EC"/>
    <w:rsid w:val="42176593"/>
    <w:rsid w:val="423A3BCC"/>
    <w:rsid w:val="430F13B6"/>
    <w:rsid w:val="4334080F"/>
    <w:rsid w:val="433A6FE6"/>
    <w:rsid w:val="433D4930"/>
    <w:rsid w:val="4350713C"/>
    <w:rsid w:val="436653E0"/>
    <w:rsid w:val="44CD14E0"/>
    <w:rsid w:val="455A0CAA"/>
    <w:rsid w:val="457B4086"/>
    <w:rsid w:val="458946E9"/>
    <w:rsid w:val="45D16BF2"/>
    <w:rsid w:val="461D4197"/>
    <w:rsid w:val="46861F19"/>
    <w:rsid w:val="46890106"/>
    <w:rsid w:val="46D955A7"/>
    <w:rsid w:val="47133957"/>
    <w:rsid w:val="473337F2"/>
    <w:rsid w:val="47596E9F"/>
    <w:rsid w:val="4779329E"/>
    <w:rsid w:val="47A07E0C"/>
    <w:rsid w:val="481E1E96"/>
    <w:rsid w:val="4870272E"/>
    <w:rsid w:val="48765D7D"/>
    <w:rsid w:val="49DC7715"/>
    <w:rsid w:val="4A023139"/>
    <w:rsid w:val="4A2B410A"/>
    <w:rsid w:val="4A61073F"/>
    <w:rsid w:val="4A7B576F"/>
    <w:rsid w:val="4B1C7C0C"/>
    <w:rsid w:val="4B48714F"/>
    <w:rsid w:val="4C4A0649"/>
    <w:rsid w:val="4CA760E7"/>
    <w:rsid w:val="4CDA611C"/>
    <w:rsid w:val="4CE470D3"/>
    <w:rsid w:val="4D7F07F1"/>
    <w:rsid w:val="4DEC4FB0"/>
    <w:rsid w:val="4E075D8A"/>
    <w:rsid w:val="4FC62A8C"/>
    <w:rsid w:val="4FE20F0D"/>
    <w:rsid w:val="50504C4B"/>
    <w:rsid w:val="509C6E7C"/>
    <w:rsid w:val="51183732"/>
    <w:rsid w:val="5162104E"/>
    <w:rsid w:val="519F78D8"/>
    <w:rsid w:val="51FD3793"/>
    <w:rsid w:val="52B230A1"/>
    <w:rsid w:val="52B71237"/>
    <w:rsid w:val="52EE2436"/>
    <w:rsid w:val="53A039CC"/>
    <w:rsid w:val="53A1505A"/>
    <w:rsid w:val="54033D2D"/>
    <w:rsid w:val="54063E08"/>
    <w:rsid w:val="543437E8"/>
    <w:rsid w:val="559B174B"/>
    <w:rsid w:val="55CE0CF4"/>
    <w:rsid w:val="56B22A9C"/>
    <w:rsid w:val="56FD014A"/>
    <w:rsid w:val="57B72A76"/>
    <w:rsid w:val="57C24C29"/>
    <w:rsid w:val="58BB7C6D"/>
    <w:rsid w:val="59305C7B"/>
    <w:rsid w:val="5A3C747D"/>
    <w:rsid w:val="5A4F3DF7"/>
    <w:rsid w:val="5ABE2233"/>
    <w:rsid w:val="5B276D18"/>
    <w:rsid w:val="5B9A25AF"/>
    <w:rsid w:val="5BDF5D95"/>
    <w:rsid w:val="5C2E7858"/>
    <w:rsid w:val="5C5962F1"/>
    <w:rsid w:val="5CC27DEE"/>
    <w:rsid w:val="5DB16A0B"/>
    <w:rsid w:val="5DF87A0F"/>
    <w:rsid w:val="5EC70C2A"/>
    <w:rsid w:val="5F1A2B43"/>
    <w:rsid w:val="5F365D16"/>
    <w:rsid w:val="5F7D1878"/>
    <w:rsid w:val="5F93061C"/>
    <w:rsid w:val="5FA628FD"/>
    <w:rsid w:val="5FB14001"/>
    <w:rsid w:val="5FB837BB"/>
    <w:rsid w:val="602177B4"/>
    <w:rsid w:val="61C84FDB"/>
    <w:rsid w:val="61D95A45"/>
    <w:rsid w:val="62364782"/>
    <w:rsid w:val="62A4220E"/>
    <w:rsid w:val="62AB212D"/>
    <w:rsid w:val="62E23C0C"/>
    <w:rsid w:val="63D40BE9"/>
    <w:rsid w:val="63E0211F"/>
    <w:rsid w:val="64716D71"/>
    <w:rsid w:val="65373578"/>
    <w:rsid w:val="65713B19"/>
    <w:rsid w:val="657C18FC"/>
    <w:rsid w:val="673F2C7A"/>
    <w:rsid w:val="679F6397"/>
    <w:rsid w:val="67B001A0"/>
    <w:rsid w:val="681F6961"/>
    <w:rsid w:val="68610A2F"/>
    <w:rsid w:val="687C4958"/>
    <w:rsid w:val="68805514"/>
    <w:rsid w:val="69325308"/>
    <w:rsid w:val="694E2071"/>
    <w:rsid w:val="697A3B33"/>
    <w:rsid w:val="699E2456"/>
    <w:rsid w:val="6AC969ED"/>
    <w:rsid w:val="6B322639"/>
    <w:rsid w:val="6BE005F9"/>
    <w:rsid w:val="6C3E2C5F"/>
    <w:rsid w:val="6C636C38"/>
    <w:rsid w:val="6DB34098"/>
    <w:rsid w:val="6DB545B6"/>
    <w:rsid w:val="6E4375A0"/>
    <w:rsid w:val="6E514CED"/>
    <w:rsid w:val="6E79491A"/>
    <w:rsid w:val="6EB563D5"/>
    <w:rsid w:val="6EC177A0"/>
    <w:rsid w:val="6F225983"/>
    <w:rsid w:val="6FFC5590"/>
    <w:rsid w:val="702459EC"/>
    <w:rsid w:val="702526C1"/>
    <w:rsid w:val="70301DA3"/>
    <w:rsid w:val="706D1DD0"/>
    <w:rsid w:val="70856B87"/>
    <w:rsid w:val="70D527EE"/>
    <w:rsid w:val="715B5300"/>
    <w:rsid w:val="715F4BD7"/>
    <w:rsid w:val="71D27F8A"/>
    <w:rsid w:val="71F744C6"/>
    <w:rsid w:val="71F960CF"/>
    <w:rsid w:val="731F5D5E"/>
    <w:rsid w:val="73341E03"/>
    <w:rsid w:val="734D39EB"/>
    <w:rsid w:val="741E793C"/>
    <w:rsid w:val="74330C01"/>
    <w:rsid w:val="74783628"/>
    <w:rsid w:val="74CF3158"/>
    <w:rsid w:val="751F127A"/>
    <w:rsid w:val="758D75E2"/>
    <w:rsid w:val="77762421"/>
    <w:rsid w:val="77DD04D4"/>
    <w:rsid w:val="77F07968"/>
    <w:rsid w:val="780F09F4"/>
    <w:rsid w:val="787F7787"/>
    <w:rsid w:val="789C4F47"/>
    <w:rsid w:val="78A90480"/>
    <w:rsid w:val="7910165F"/>
    <w:rsid w:val="79224A93"/>
    <w:rsid w:val="79811327"/>
    <w:rsid w:val="7A364017"/>
    <w:rsid w:val="7A8265E1"/>
    <w:rsid w:val="7B040B17"/>
    <w:rsid w:val="7B686D42"/>
    <w:rsid w:val="7B841746"/>
    <w:rsid w:val="7D0239FF"/>
    <w:rsid w:val="7D040C78"/>
    <w:rsid w:val="7D1F2501"/>
    <w:rsid w:val="7D5E40CD"/>
    <w:rsid w:val="7D693BED"/>
    <w:rsid w:val="7E1C41A7"/>
    <w:rsid w:val="7F2275BA"/>
    <w:rsid w:val="7FC7209D"/>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59"/>
    <w:qFormat/>
    <w:locked/>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3"/>
    <w:qFormat/>
    <w:locked/>
    <w:uiPriority w:val="0"/>
    <w:pPr>
      <w:keepNext/>
      <w:keepLines/>
      <w:spacing w:before="260" w:after="260" w:line="416" w:lineRule="auto"/>
      <w:outlineLvl w:val="2"/>
    </w:pPr>
    <w:rPr>
      <w:rFonts w:eastAsiaTheme="minorEastAsia"/>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0"/>
    <w:pPr>
      <w:widowControl/>
      <w:snapToGrid w:val="0"/>
      <w:spacing w:before="60" w:after="160" w:line="259" w:lineRule="auto"/>
      <w:ind w:right="113"/>
    </w:pPr>
    <w:rPr>
      <w:kern w:val="0"/>
      <w:sz w:val="18"/>
      <w:szCs w:val="18"/>
    </w:rPr>
  </w:style>
  <w:style w:type="paragraph" w:styleId="6">
    <w:name w:val="annotation text"/>
    <w:basedOn w:val="1"/>
    <w:link w:val="35"/>
    <w:semiHidden/>
    <w:qFormat/>
    <w:uiPriority w:val="0"/>
    <w:pPr>
      <w:jc w:val="left"/>
    </w:pPr>
    <w:rPr>
      <w:kern w:val="0"/>
      <w:sz w:val="20"/>
    </w:rPr>
  </w:style>
  <w:style w:type="paragraph" w:styleId="7">
    <w:name w:val="Body Text Indent"/>
    <w:basedOn w:val="1"/>
    <w:link w:val="37"/>
    <w:semiHidden/>
    <w:qFormat/>
    <w:uiPriority w:val="0"/>
    <w:pPr>
      <w:spacing w:after="120"/>
      <w:ind w:left="420" w:leftChars="200"/>
    </w:pPr>
  </w:style>
  <w:style w:type="paragraph" w:styleId="8">
    <w:name w:val="Date"/>
    <w:basedOn w:val="1"/>
    <w:next w:val="1"/>
    <w:link w:val="28"/>
    <w:qFormat/>
    <w:uiPriority w:val="0"/>
    <w:pPr>
      <w:ind w:left="100" w:leftChars="2500"/>
    </w:pPr>
    <w:rPr>
      <w:kern w:val="0"/>
      <w:sz w:val="20"/>
    </w:rPr>
  </w:style>
  <w:style w:type="paragraph" w:styleId="9">
    <w:name w:val="Body Text Indent 2"/>
    <w:basedOn w:val="1"/>
    <w:link w:val="42"/>
    <w:qFormat/>
    <w:uiPriority w:val="0"/>
    <w:pPr>
      <w:spacing w:after="120" w:line="480" w:lineRule="auto"/>
      <w:ind w:left="420" w:leftChars="200"/>
    </w:pPr>
  </w:style>
  <w:style w:type="paragraph" w:styleId="10">
    <w:name w:val="Balloon Text"/>
    <w:basedOn w:val="1"/>
    <w:link w:val="34"/>
    <w:semiHidden/>
    <w:qFormat/>
    <w:uiPriority w:val="0"/>
    <w:rPr>
      <w:sz w:val="18"/>
      <w:szCs w:val="18"/>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50"/>
    <w:qFormat/>
    <w:locked/>
    <w:uiPriority w:val="0"/>
    <w:pPr>
      <w:spacing w:line="0" w:lineRule="atLeast"/>
      <w:jc w:val="center"/>
      <w:outlineLvl w:val="1"/>
    </w:pPr>
    <w:rPr>
      <w:rFonts w:asciiTheme="minorHAnsi" w:hAnsiTheme="minorHAnsi" w:eastAsiaTheme="minorEastAsia" w:cstheme="minorBidi"/>
      <w:bCs/>
      <w:kern w:val="28"/>
      <w:szCs w:val="32"/>
    </w:rPr>
  </w:style>
  <w:style w:type="paragraph" w:styleId="14">
    <w:name w:val="List"/>
    <w:basedOn w:val="1"/>
    <w:qFormat/>
    <w:uiPriority w:val="0"/>
    <w:pPr>
      <w:ind w:left="200" w:hanging="200" w:hangingChars="200"/>
      <w:contextualSpacing/>
    </w:pPr>
  </w:style>
  <w:style w:type="paragraph" w:styleId="15">
    <w:name w:val="Normal (Web)"/>
    <w:basedOn w:val="1"/>
    <w:link w:val="27"/>
    <w:qFormat/>
    <w:uiPriority w:val="0"/>
    <w:pPr>
      <w:widowControl/>
      <w:spacing w:before="100" w:beforeAutospacing="1" w:after="100" w:afterAutospacing="1"/>
      <w:jc w:val="left"/>
    </w:pPr>
    <w:rPr>
      <w:rFonts w:ascii="宋体" w:hAnsi="宋体"/>
      <w:kern w:val="0"/>
      <w:sz w:val="24"/>
    </w:rPr>
  </w:style>
  <w:style w:type="paragraph" w:styleId="16">
    <w:name w:val="Title"/>
    <w:basedOn w:val="1"/>
    <w:next w:val="1"/>
    <w:link w:val="54"/>
    <w:qFormat/>
    <w:locked/>
    <w:uiPriority w:val="0"/>
    <w:pPr>
      <w:spacing w:line="360" w:lineRule="auto"/>
    </w:pPr>
    <w:rPr>
      <w:rFonts w:asciiTheme="minorHAnsi" w:hAnsiTheme="minorHAnsi" w:eastAsiaTheme="minorEastAsia" w:cstheme="minorBidi"/>
      <w:sz w:val="24"/>
    </w:rPr>
  </w:style>
  <w:style w:type="paragraph" w:styleId="17">
    <w:name w:val="annotation subject"/>
    <w:basedOn w:val="6"/>
    <w:next w:val="6"/>
    <w:link w:val="38"/>
    <w:semiHidden/>
    <w:qFormat/>
    <w:uiPriority w:val="0"/>
    <w:rPr>
      <w:b/>
      <w:bCs/>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annotation reference"/>
    <w:basedOn w:val="20"/>
    <w:semiHidden/>
    <w:qFormat/>
    <w:uiPriority w:val="0"/>
    <w:rPr>
      <w:sz w:val="21"/>
    </w:rPr>
  </w:style>
  <w:style w:type="paragraph" w:customStyle="1" w:styleId="23">
    <w:name w:val="Default"/>
    <w:qFormat/>
    <w:uiPriority w:val="0"/>
    <w:pPr>
      <w:widowControl w:val="0"/>
      <w:autoSpaceDE w:val="0"/>
      <w:autoSpaceDN w:val="0"/>
      <w:adjustRightInd w:val="0"/>
    </w:pPr>
    <w:rPr>
      <w:rFonts w:ascii="宋体" w:hAnsi="Times New Roman" w:cs="宋体" w:eastAsiaTheme="minorEastAsia"/>
      <w:color w:val="000000"/>
      <w:sz w:val="24"/>
      <w:szCs w:val="24"/>
      <w:lang w:val="en-US" w:eastAsia="zh-CN" w:bidi="ar-SA"/>
    </w:rPr>
  </w:style>
  <w:style w:type="character" w:customStyle="1" w:styleId="24">
    <w:name w:val="页眉 Char"/>
    <w:basedOn w:val="20"/>
    <w:link w:val="12"/>
    <w:qFormat/>
    <w:locked/>
    <w:uiPriority w:val="0"/>
    <w:rPr>
      <w:rFonts w:cs="Times New Roman"/>
      <w:sz w:val="18"/>
      <w:szCs w:val="18"/>
    </w:rPr>
  </w:style>
  <w:style w:type="character" w:customStyle="1" w:styleId="25">
    <w:name w:val="页脚 Char"/>
    <w:basedOn w:val="20"/>
    <w:link w:val="11"/>
    <w:qFormat/>
    <w:locked/>
    <w:uiPriority w:val="0"/>
    <w:rPr>
      <w:rFonts w:cs="Times New Roman"/>
      <w:sz w:val="18"/>
      <w:szCs w:val="18"/>
    </w:rPr>
  </w:style>
  <w:style w:type="character" w:customStyle="1" w:styleId="26">
    <w:name w:val="正文文本 Char"/>
    <w:link w:val="2"/>
    <w:qFormat/>
    <w:locked/>
    <w:uiPriority w:val="0"/>
    <w:rPr>
      <w:sz w:val="18"/>
    </w:rPr>
  </w:style>
  <w:style w:type="character" w:customStyle="1" w:styleId="27">
    <w:name w:val="普通(网站) Char1"/>
    <w:link w:val="15"/>
    <w:qFormat/>
    <w:locked/>
    <w:uiPriority w:val="0"/>
    <w:rPr>
      <w:rFonts w:ascii="宋体" w:hAnsi="宋体" w:eastAsia="宋体"/>
      <w:sz w:val="24"/>
    </w:rPr>
  </w:style>
  <w:style w:type="character" w:customStyle="1" w:styleId="28">
    <w:name w:val="日期 Char"/>
    <w:link w:val="8"/>
    <w:qFormat/>
    <w:locked/>
    <w:uiPriority w:val="0"/>
    <w:rPr>
      <w:rFonts w:ascii="Times New Roman" w:hAnsi="Times New Roman" w:eastAsia="宋体"/>
      <w:sz w:val="24"/>
    </w:rPr>
  </w:style>
  <w:style w:type="character" w:customStyle="1" w:styleId="29">
    <w:name w:val="日期 字符"/>
    <w:basedOn w:val="20"/>
    <w:semiHidden/>
    <w:qFormat/>
    <w:uiPriority w:val="0"/>
    <w:rPr>
      <w:rFonts w:ascii="Times New Roman" w:hAnsi="Times New Roman" w:eastAsia="宋体" w:cs="Times New Roman"/>
      <w:sz w:val="24"/>
      <w:szCs w:val="24"/>
    </w:rPr>
  </w:style>
  <w:style w:type="character" w:customStyle="1" w:styleId="30">
    <w:name w:val="正文文本 字符1"/>
    <w:basedOn w:val="20"/>
    <w:semiHidden/>
    <w:qFormat/>
    <w:uiPriority w:val="0"/>
    <w:rPr>
      <w:rFonts w:ascii="Times New Roman" w:hAnsi="Times New Roman" w:eastAsia="宋体" w:cs="Times New Roman"/>
      <w:sz w:val="24"/>
      <w:szCs w:val="24"/>
    </w:rPr>
  </w:style>
  <w:style w:type="paragraph" w:customStyle="1" w:styleId="31">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32">
    <w:name w:val="表格 Char"/>
    <w:link w:val="33"/>
    <w:qFormat/>
    <w:locked/>
    <w:uiPriority w:val="10"/>
    <w:rPr>
      <w:rFonts w:ascii="宋体"/>
      <w:sz w:val="21"/>
    </w:rPr>
  </w:style>
  <w:style w:type="paragraph" w:customStyle="1" w:styleId="33">
    <w:name w:val="表格"/>
    <w:basedOn w:val="1"/>
    <w:next w:val="1"/>
    <w:link w:val="32"/>
    <w:qFormat/>
    <w:uiPriority w:val="10"/>
    <w:pPr>
      <w:adjustRightInd w:val="0"/>
      <w:snapToGrid w:val="0"/>
      <w:spacing w:beforeLines="10" w:afterLines="10" w:line="259" w:lineRule="auto"/>
      <w:jc w:val="center"/>
    </w:pPr>
    <w:rPr>
      <w:rFonts w:ascii="宋体"/>
      <w:kern w:val="0"/>
      <w:sz w:val="20"/>
      <w:szCs w:val="21"/>
    </w:rPr>
  </w:style>
  <w:style w:type="character" w:customStyle="1" w:styleId="34">
    <w:name w:val="批注框文本 Char"/>
    <w:basedOn w:val="20"/>
    <w:link w:val="10"/>
    <w:semiHidden/>
    <w:qFormat/>
    <w:locked/>
    <w:uiPriority w:val="0"/>
    <w:rPr>
      <w:rFonts w:ascii="Times New Roman" w:hAnsi="Times New Roman" w:eastAsia="宋体" w:cs="Times New Roman"/>
      <w:sz w:val="18"/>
      <w:szCs w:val="18"/>
    </w:rPr>
  </w:style>
  <w:style w:type="character" w:customStyle="1" w:styleId="35">
    <w:name w:val="批注文字 Char"/>
    <w:link w:val="6"/>
    <w:qFormat/>
    <w:locked/>
    <w:uiPriority w:val="0"/>
    <w:rPr>
      <w:rFonts w:ascii="Times New Roman" w:hAnsi="Times New Roman" w:eastAsia="宋体"/>
      <w:sz w:val="24"/>
    </w:rPr>
  </w:style>
  <w:style w:type="character" w:customStyle="1" w:styleId="36">
    <w:name w:val="批注文字 字符1"/>
    <w:basedOn w:val="20"/>
    <w:semiHidden/>
    <w:qFormat/>
    <w:uiPriority w:val="0"/>
    <w:rPr>
      <w:rFonts w:ascii="Times New Roman" w:hAnsi="Times New Roman" w:eastAsia="宋体" w:cs="Times New Roman"/>
      <w:sz w:val="24"/>
      <w:szCs w:val="24"/>
    </w:rPr>
  </w:style>
  <w:style w:type="character" w:customStyle="1" w:styleId="37">
    <w:name w:val="正文文本缩进 Char"/>
    <w:basedOn w:val="20"/>
    <w:link w:val="7"/>
    <w:semiHidden/>
    <w:qFormat/>
    <w:locked/>
    <w:uiPriority w:val="0"/>
    <w:rPr>
      <w:rFonts w:ascii="Times New Roman" w:hAnsi="Times New Roman" w:eastAsia="宋体" w:cs="Times New Roman"/>
      <w:sz w:val="24"/>
      <w:szCs w:val="24"/>
    </w:rPr>
  </w:style>
  <w:style w:type="character" w:customStyle="1" w:styleId="38">
    <w:name w:val="批注主题 Char"/>
    <w:basedOn w:val="35"/>
    <w:link w:val="17"/>
    <w:semiHidden/>
    <w:qFormat/>
    <w:locked/>
    <w:uiPriority w:val="0"/>
    <w:rPr>
      <w:rFonts w:ascii="Times New Roman" w:hAnsi="Times New Roman" w:eastAsia="宋体" w:cs="Times New Roman"/>
      <w:b/>
      <w:bCs/>
      <w:kern w:val="2"/>
      <w:sz w:val="24"/>
      <w:szCs w:val="24"/>
    </w:rPr>
  </w:style>
  <w:style w:type="character" w:customStyle="1" w:styleId="39">
    <w:name w:val="普通(网站) Char"/>
    <w:qFormat/>
    <w:locked/>
    <w:uiPriority w:val="0"/>
    <w:rPr>
      <w:rFonts w:ascii="宋体" w:hAnsi="宋体" w:eastAsia="宋体"/>
      <w:sz w:val="24"/>
    </w:rPr>
  </w:style>
  <w:style w:type="paragraph" w:customStyle="1" w:styleId="40">
    <w:name w:val="00正文"/>
    <w:basedOn w:val="1"/>
    <w:link w:val="41"/>
    <w:qFormat/>
    <w:uiPriority w:val="0"/>
    <w:pPr>
      <w:spacing w:line="360" w:lineRule="auto"/>
      <w:ind w:firstLine="200" w:firstLineChars="200"/>
    </w:pPr>
    <w:rPr>
      <w:sz w:val="24"/>
      <w:lang w:val="zh-CN"/>
    </w:rPr>
  </w:style>
  <w:style w:type="character" w:customStyle="1" w:styleId="41">
    <w:name w:val="00正文 Char"/>
    <w:link w:val="40"/>
    <w:qFormat/>
    <w:uiPriority w:val="0"/>
    <w:rPr>
      <w:kern w:val="2"/>
      <w:sz w:val="24"/>
      <w:szCs w:val="24"/>
      <w:lang w:val="zh-CN"/>
    </w:rPr>
  </w:style>
  <w:style w:type="character" w:customStyle="1" w:styleId="42">
    <w:name w:val="正文文本缩进 2 Char"/>
    <w:basedOn w:val="20"/>
    <w:link w:val="9"/>
    <w:qFormat/>
    <w:uiPriority w:val="0"/>
    <w:rPr>
      <w:kern w:val="2"/>
      <w:sz w:val="21"/>
      <w:szCs w:val="24"/>
    </w:rPr>
  </w:style>
  <w:style w:type="character" w:customStyle="1" w:styleId="43">
    <w:name w:val="666666-正文 Char"/>
    <w:link w:val="44"/>
    <w:qFormat/>
    <w:uiPriority w:val="0"/>
    <w:rPr>
      <w:sz w:val="24"/>
      <w:lang w:val="zh-CN"/>
    </w:rPr>
  </w:style>
  <w:style w:type="paragraph" w:customStyle="1" w:styleId="44">
    <w:name w:val="666666-正文"/>
    <w:basedOn w:val="1"/>
    <w:link w:val="43"/>
    <w:qFormat/>
    <w:uiPriority w:val="0"/>
    <w:pPr>
      <w:spacing w:line="440" w:lineRule="exact"/>
      <w:ind w:firstLine="200" w:firstLineChars="200"/>
    </w:pPr>
    <w:rPr>
      <w:kern w:val="0"/>
      <w:sz w:val="24"/>
      <w:szCs w:val="20"/>
      <w:lang w:val="zh-CN"/>
    </w:rPr>
  </w:style>
  <w:style w:type="paragraph" w:customStyle="1" w:styleId="45">
    <w:name w:val="图表文字"/>
    <w:basedOn w:val="2"/>
    <w:qFormat/>
    <w:uiPriority w:val="0"/>
    <w:pPr>
      <w:widowControl w:val="0"/>
      <w:snapToGrid/>
      <w:spacing w:before="0" w:after="0" w:line="320" w:lineRule="exact"/>
      <w:ind w:right="0"/>
      <w:jc w:val="center"/>
    </w:pPr>
    <w:rPr>
      <w:rFonts w:ascii="宋体" w:hAnsi="宋体"/>
      <w:bCs/>
      <w:kern w:val="2"/>
      <w:sz w:val="24"/>
      <w:szCs w:val="24"/>
    </w:rPr>
  </w:style>
  <w:style w:type="paragraph" w:customStyle="1" w:styleId="46">
    <w:name w:val="图表标题"/>
    <w:basedOn w:val="9"/>
    <w:qFormat/>
    <w:uiPriority w:val="0"/>
    <w:pPr>
      <w:autoSpaceDE w:val="0"/>
      <w:autoSpaceDN w:val="0"/>
      <w:adjustRightInd w:val="0"/>
      <w:spacing w:beforeLines="50" w:after="0" w:afterLines="50" w:line="300" w:lineRule="auto"/>
      <w:ind w:left="-107" w:leftChars="-51" w:firstLine="540" w:firstLineChars="225"/>
      <w:jc w:val="center"/>
      <w:textAlignment w:val="baseline"/>
    </w:pPr>
    <w:rPr>
      <w:rFonts w:eastAsia="黑体"/>
      <w:kern w:val="0"/>
      <w:sz w:val="24"/>
    </w:rPr>
  </w:style>
  <w:style w:type="paragraph" w:customStyle="1" w:styleId="47">
    <w:name w:val="6表内文字 居中"/>
    <w:basedOn w:val="1"/>
    <w:qFormat/>
    <w:uiPriority w:val="99"/>
    <w:pPr>
      <w:adjustRightInd w:val="0"/>
      <w:jc w:val="center"/>
      <w:textAlignment w:val="baseline"/>
    </w:pPr>
    <w:rPr>
      <w:snapToGrid w:val="0"/>
      <w:kern w:val="0"/>
    </w:rPr>
  </w:style>
  <w:style w:type="paragraph" w:styleId="48">
    <w:name w:val="List Paragraph"/>
    <w:basedOn w:val="1"/>
    <w:qFormat/>
    <w:uiPriority w:val="34"/>
    <w:pPr>
      <w:ind w:firstLine="420" w:firstLineChars="200"/>
    </w:pPr>
  </w:style>
  <w:style w:type="paragraph" w:customStyle="1" w:styleId="49">
    <w:name w:val="4级"/>
    <w:basedOn w:val="1"/>
    <w:qFormat/>
    <w:uiPriority w:val="0"/>
    <w:pPr>
      <w:widowControl/>
      <w:spacing w:line="360" w:lineRule="auto"/>
      <w:ind w:firstLine="200" w:firstLineChars="200"/>
      <w:jc w:val="left"/>
      <w:outlineLvl w:val="3"/>
    </w:pPr>
    <w:rPr>
      <w:rFonts w:ascii="Verdana" w:hAnsi="Verdana"/>
      <w:kern w:val="0"/>
      <w:sz w:val="24"/>
      <w:szCs w:val="30"/>
      <w:lang w:eastAsia="en-US"/>
    </w:rPr>
  </w:style>
  <w:style w:type="character" w:customStyle="1" w:styleId="50">
    <w:name w:val="副标题 Char"/>
    <w:basedOn w:val="20"/>
    <w:link w:val="13"/>
    <w:qFormat/>
    <w:uiPriority w:val="0"/>
    <w:rPr>
      <w:rFonts w:asciiTheme="minorHAnsi" w:hAnsiTheme="minorHAnsi" w:eastAsiaTheme="minorEastAsia" w:cstheme="minorBidi"/>
      <w:bCs/>
      <w:kern w:val="28"/>
      <w:sz w:val="21"/>
      <w:szCs w:val="32"/>
    </w:rPr>
  </w:style>
  <w:style w:type="character" w:customStyle="1" w:styleId="51">
    <w:name w:val="标题 Char"/>
    <w:basedOn w:val="20"/>
    <w:qFormat/>
    <w:uiPriority w:val="0"/>
    <w:rPr>
      <w:rFonts w:asciiTheme="majorHAnsi" w:hAnsiTheme="majorHAnsi" w:cstheme="majorBidi"/>
      <w:b/>
      <w:bCs/>
      <w:kern w:val="2"/>
      <w:sz w:val="32"/>
      <w:szCs w:val="32"/>
    </w:rPr>
  </w:style>
  <w:style w:type="paragraph" w:customStyle="1" w:styleId="52">
    <w:name w:val="0正文"/>
    <w:basedOn w:val="7"/>
    <w:next w:val="16"/>
    <w:link w:val="53"/>
    <w:qFormat/>
    <w:uiPriority w:val="0"/>
    <w:pPr>
      <w:spacing w:beforeLines="50" w:after="0" w:line="360" w:lineRule="auto"/>
      <w:ind w:left="0" w:leftChars="0" w:firstLine="480" w:firstLineChars="200"/>
    </w:pPr>
    <w:rPr>
      <w:rFonts w:eastAsia="华文楷体" w:cs="Calibri" w:asciiTheme="minorHAnsi" w:hAnsiTheme="minorHAnsi"/>
      <w:sz w:val="24"/>
      <w:szCs w:val="22"/>
    </w:rPr>
  </w:style>
  <w:style w:type="character" w:customStyle="1" w:styleId="53">
    <w:name w:val="0正文 Char"/>
    <w:link w:val="52"/>
    <w:qFormat/>
    <w:uiPriority w:val="0"/>
    <w:rPr>
      <w:rFonts w:eastAsia="华文楷体" w:cs="Calibri" w:asciiTheme="minorHAnsi" w:hAnsiTheme="minorHAnsi"/>
      <w:kern w:val="2"/>
      <w:sz w:val="24"/>
      <w:szCs w:val="22"/>
    </w:rPr>
  </w:style>
  <w:style w:type="character" w:customStyle="1" w:styleId="54">
    <w:name w:val="标题 Char1"/>
    <w:link w:val="16"/>
    <w:qFormat/>
    <w:uiPriority w:val="0"/>
    <w:rPr>
      <w:rFonts w:asciiTheme="minorHAnsi" w:hAnsiTheme="minorHAnsi" w:eastAsiaTheme="minorEastAsia" w:cstheme="minorBidi"/>
      <w:kern w:val="2"/>
      <w:sz w:val="24"/>
      <w:szCs w:val="24"/>
    </w:rPr>
  </w:style>
  <w:style w:type="paragraph" w:customStyle="1" w:styleId="55">
    <w:name w:val="报告正文"/>
    <w:basedOn w:val="1"/>
    <w:link w:val="56"/>
    <w:qFormat/>
    <w:uiPriority w:val="0"/>
    <w:pPr>
      <w:spacing w:line="360" w:lineRule="auto"/>
      <w:jc w:val="center"/>
    </w:pPr>
    <w:rPr>
      <w:color w:val="000000"/>
      <w:szCs w:val="21"/>
    </w:rPr>
  </w:style>
  <w:style w:type="character" w:customStyle="1" w:styleId="56">
    <w:name w:val="报告正文 Char"/>
    <w:link w:val="55"/>
    <w:qFormat/>
    <w:uiPriority w:val="0"/>
    <w:rPr>
      <w:color w:val="000000"/>
      <w:kern w:val="2"/>
      <w:sz w:val="21"/>
      <w:szCs w:val="21"/>
    </w:rPr>
  </w:style>
  <w:style w:type="paragraph" w:customStyle="1" w:styleId="57">
    <w:name w:val="表头"/>
    <w:basedOn w:val="1"/>
    <w:next w:val="14"/>
    <w:link w:val="58"/>
    <w:qFormat/>
    <w:uiPriority w:val="0"/>
    <w:pPr>
      <w:spacing w:line="460" w:lineRule="exact"/>
      <w:jc w:val="center"/>
    </w:pPr>
    <w:rPr>
      <w:rFonts w:ascii="黑体" w:hAnsi="宋体" w:eastAsia="黑体"/>
      <w:sz w:val="24"/>
    </w:rPr>
  </w:style>
  <w:style w:type="character" w:customStyle="1" w:styleId="58">
    <w:name w:val="表头 Char"/>
    <w:link w:val="57"/>
    <w:qFormat/>
    <w:uiPriority w:val="0"/>
    <w:rPr>
      <w:rFonts w:ascii="黑体" w:hAnsi="宋体" w:eastAsia="黑体"/>
      <w:kern w:val="2"/>
      <w:sz w:val="24"/>
      <w:szCs w:val="24"/>
    </w:rPr>
  </w:style>
  <w:style w:type="character" w:customStyle="1" w:styleId="59">
    <w:name w:val="标题 2 Char"/>
    <w:basedOn w:val="20"/>
    <w:link w:val="4"/>
    <w:qFormat/>
    <w:uiPriority w:val="0"/>
    <w:rPr>
      <w:rFonts w:ascii="Arial" w:hAnsi="Arial" w:eastAsia="黑体"/>
      <w:b/>
      <w:bCs/>
      <w:kern w:val="2"/>
      <w:sz w:val="32"/>
      <w:szCs w:val="32"/>
    </w:rPr>
  </w:style>
  <w:style w:type="character" w:customStyle="1" w:styleId="60">
    <w:name w:val="表名 Char"/>
    <w:link w:val="61"/>
    <w:qFormat/>
    <w:locked/>
    <w:uiPriority w:val="99"/>
    <w:rPr>
      <w:rFonts w:ascii="Calibri" w:hAnsi="Calibri" w:eastAsia="黑体"/>
      <w:szCs w:val="24"/>
    </w:rPr>
  </w:style>
  <w:style w:type="paragraph" w:customStyle="1" w:styleId="61">
    <w:name w:val="表名"/>
    <w:basedOn w:val="1"/>
    <w:link w:val="60"/>
    <w:qFormat/>
    <w:uiPriority w:val="99"/>
    <w:rPr>
      <w:rFonts w:ascii="Calibri" w:hAnsi="Calibri" w:eastAsia="黑体"/>
      <w:kern w:val="0"/>
      <w:sz w:val="20"/>
    </w:rPr>
  </w:style>
  <w:style w:type="character" w:customStyle="1" w:styleId="62">
    <w:name w:val="标题 3 Char"/>
    <w:basedOn w:val="20"/>
    <w:semiHidden/>
    <w:qFormat/>
    <w:uiPriority w:val="0"/>
    <w:rPr>
      <w:b/>
      <w:bCs/>
      <w:kern w:val="2"/>
      <w:sz w:val="32"/>
      <w:szCs w:val="32"/>
    </w:rPr>
  </w:style>
  <w:style w:type="character" w:customStyle="1" w:styleId="63">
    <w:name w:val="标题 3 Char1"/>
    <w:link w:val="5"/>
    <w:qFormat/>
    <w:uiPriority w:val="0"/>
    <w:rPr>
      <w:rFonts w:eastAsiaTheme="minorEastAsia"/>
      <w:b/>
      <w:bCs/>
      <w:kern w:val="2"/>
      <w:sz w:val="32"/>
      <w:szCs w:val="32"/>
    </w:rPr>
  </w:style>
  <w:style w:type="paragraph" w:customStyle="1" w:styleId="64">
    <w:name w:val="大标题文字"/>
    <w:basedOn w:val="1"/>
    <w:qFormat/>
    <w:uiPriority w:val="0"/>
    <w:pPr>
      <w:spacing w:line="240" w:lineRule="auto"/>
      <w:ind w:firstLine="0" w:firstLineChars="0"/>
      <w:jc w:val="center"/>
    </w:pPr>
    <w:rPr>
      <w:rFonts w:eastAsia="微软雅黑"/>
      <w:sz w:val="52"/>
    </w:rPr>
  </w:style>
  <w:style w:type="paragraph" w:customStyle="1" w:styleId="65">
    <w:name w:val="p0"/>
    <w:basedOn w:val="1"/>
    <w:qFormat/>
    <w:uiPriority w:val="0"/>
    <w:pPr>
      <w:widowControl/>
    </w:pPr>
    <w:rPr>
      <w:rFonts w:hint="eastAsia" w:ascii="Times New Roman" w:hAnsi="Times New Roman" w:eastAsia="宋体" w:cs="Times New Roman"/>
      <w:szCs w:val="24"/>
    </w:rPr>
  </w:style>
  <w:style w:type="character" w:customStyle="1" w:styleId="66">
    <w:name w:val="font51"/>
    <w:qFormat/>
    <w:uiPriority w:val="0"/>
    <w:rPr>
      <w:rFonts w:hint="eastAsia" w:ascii="宋体" w:hAnsi="宋体" w:eastAsia="宋体" w:cs="宋体"/>
      <w:color w:val="000000"/>
      <w:sz w:val="24"/>
      <w:szCs w:val="24"/>
      <w:u w:val="none"/>
    </w:rPr>
  </w:style>
  <w:style w:type="paragraph" w:customStyle="1" w:styleId="67">
    <w:name w:val="表格文字"/>
    <w:basedOn w:val="1"/>
    <w:qFormat/>
    <w:uiPriority w:val="0"/>
    <w:pPr>
      <w:spacing w:line="240" w:lineRule="auto"/>
      <w:ind w:firstLine="0" w:firstLineChars="0"/>
      <w:jc w:val="center"/>
    </w:pPr>
    <w:rPr>
      <w:sz w:val="21"/>
    </w:rPr>
  </w:style>
  <w:style w:type="paragraph" w:customStyle="1" w:styleId="68">
    <w:name w:val="图片名称"/>
    <w:basedOn w:val="57"/>
    <w:qFormat/>
    <w:uiPriority w:val="0"/>
    <w:pPr>
      <w:ind w:firstLine="0" w:firstLineChars="0"/>
      <w:jc w:val="center"/>
    </w:pPr>
  </w:style>
  <w:style w:type="paragraph" w:customStyle="1" w:styleId="69">
    <w:name w:val="图名"/>
    <w:basedOn w:val="1"/>
    <w:qFormat/>
    <w:uiPriority w:val="0"/>
    <w:pPr>
      <w:spacing w:line="240" w:lineRule="auto"/>
      <w:ind w:firstLine="0" w:firstLineChars="0"/>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2.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oleObject" Target="embeddings/oleObject2.bin"/><Relationship Id="rId17" Type="http://schemas.openxmlformats.org/officeDocument/2006/relationships/image" Target="media/image10.wmf"/><Relationship Id="rId16" Type="http://schemas.openxmlformats.org/officeDocument/2006/relationships/oleObject" Target="embeddings/oleObject1.bin"/><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28266</Words>
  <Characters>30808</Characters>
  <Lines>265</Lines>
  <Paragraphs>74</Paragraphs>
  <TotalTime>1</TotalTime>
  <ScaleCrop>false</ScaleCrop>
  <LinksUpToDate>false</LinksUpToDate>
  <CharactersWithSpaces>31053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2021-06-17T13:57:00Z</dcterms:created>
  <dc:creator>lhj</dc:creator>
  <cp:lastModifiedBy>Administrator</cp:lastModifiedBy>
  <cp:lastPrinted>2020-12-24T01:50:00Z</cp:lastPrinted>
  <dcterms:modified xsi:type="dcterms:W3CDTF">2022-08-01T07:02:16Z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9F36AE3652624902B6AF9C990ED0D741</vt:lpwstr>
  </property>
</Properties>
</file>