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fill="FFFFFF"/>
          <w:lang w:val="en-US" w:eastAsia="zh-CN" w:bidi="ar"/>
        </w:rPr>
        <w:t>岚皋县人民政府办公室2021年政府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fill="FFFFFF"/>
          <w:lang w:val="en-US" w:eastAsia="zh-CN" w:bidi="ar"/>
        </w:rPr>
        <w:t>信息公开工作年度报告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仿宋_GB2312" w:hAnsi="Calibri" w:eastAsia="仿宋_GB2312" w:cs="仿宋_GB2312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2021年，岚皋县人民政府办公室紧紧围绕县委、县政府中心工作和公众需求，紧扣政府信息公开工作主管部门的职责，积极推进、指导、协调全县政府信息公开工作。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（一）主动公开情况。2021年，依托岚皋县人民政府网站、政务微博、政务微信等平台，全年主动公开</w:t>
      </w:r>
      <w:bookmarkStart w:id="0" w:name="_GoBack"/>
      <w:bookmarkEnd w:id="0"/>
      <w:r>
        <w:rPr>
          <w:rFonts w:hint="eastAsia" w:ascii="仿宋_GB2312" w:hAnsi="Calibri" w:eastAsia="仿宋_GB2312" w:cs="仿宋_GB2312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重大项目实施、疫情防控、环境保护、公共监管、公共资源配置等政府信息1891条，其中政府网站公开政府信息1370条，政务微博、微信公开政府信息521条。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（二）依申请公开情况。2021年我办收到1条政府信息公开申请，严格按照要求，准时答复。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政府信息管理情况。印发了《岚皋县基层政务公开事项标准目录》，对全县26个领域的基层政务公开标准目录进行了梳理，按照“以公开为常态，不公开为例外”“谁履职、谁产生、谁公开”的原则，确保信息发布及时、准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（四）平台建设情况。</w:t>
      </w:r>
      <w:r>
        <w:rPr>
          <w:rFonts w:hint="eastAsia" w:ascii="仿宋_GB2312" w:hAnsi="Calibri" w:eastAsia="仿宋_GB2312" w:cs="仿宋_GB2312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持续发挥政府网站作为政府信息公开的第一平台作用，</w:t>
      </w:r>
      <w:r>
        <w:rPr>
          <w:rFonts w:hint="eastAsia" w:ascii="仿宋_GB2312" w:hAnsi="Calibri" w:eastAsia="仿宋_GB2312" w:cs="仿宋_GB2312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进一步加强政府网站与政府系统政务新媒体监管，对县政府网站栏目设置进行了进一步优化，对全县政务新媒体建立了台账管理，定期检查通报。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（五）监督保障。进一步加强组织领导，细化工作措施，明确工作责任，强化监督考核，严格进行政府网站及新媒体日常监测抽查，每月每季度通报检查情况，指导各镇各部门加快工作推进。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"/>
        <w:gridCol w:w="1114"/>
        <w:gridCol w:w="1445"/>
        <w:gridCol w:w="714"/>
        <w:gridCol w:w="714"/>
        <w:gridCol w:w="714"/>
        <w:gridCol w:w="714"/>
        <w:gridCol w:w="714"/>
        <w:gridCol w:w="714"/>
        <w:gridCol w:w="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2021年，县政府办在政府信息公开工作中取得了新的进展，但同时也存在政策文件解读方式单一、规范化标准化水平低、业务能力有待提高等不足等问题。下一步，我们将采取以下措施积极改进：一是</w:t>
      </w:r>
      <w:r>
        <w:rPr>
          <w:rFonts w:hint="eastAsia" w:ascii="仿宋_GB2312" w:hAnsi="Calibri" w:eastAsia="仿宋_GB2312" w:cs="仿宋_GB2312"/>
          <w:color w:val="555555"/>
          <w:spacing w:val="0"/>
          <w:kern w:val="0"/>
          <w:sz w:val="32"/>
          <w:szCs w:val="32"/>
          <w:lang w:val="en-US" w:eastAsia="zh-CN" w:bidi="ar"/>
        </w:rPr>
        <w:t>进一步提高认识，把推进信息公开工作作为加强自身建设、提高服务水平的重要内容</w:t>
      </w:r>
      <w:r>
        <w:rPr>
          <w:rFonts w:hint="eastAsia" w:ascii="仿宋_GB2312" w:hAnsi="Calibri" w:eastAsia="仿宋_GB2312" w:cs="仿宋_GB2312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；二是进一步加强工作人员配备，通过参加上级培训班等形式，加强工作联络员的学习培训，加强对《政府信息公开条例》和政务公开有关文件的学习，提升工作人员业务水平；三是进一步加强公开平台建设。加强网站、微信、微博、 客户端建设，推进公开平台建设集约化、标准化、规范化，规范 栏目设置，更好地满足公众对政府信息的需求。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ZDZkN2I2NWU0YjYzZTViNzQ0ZWM5YjRjZmQxMGEifQ=="/>
  </w:docVars>
  <w:rsids>
    <w:rsidRoot w:val="00000000"/>
    <w:rsid w:val="2560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2022-09-07T02:19:32Z</dcterms:created>
  <dc:creator>admin</dc:creator>
  <cp:lastModifiedBy>李晓松</cp:lastModifiedBy>
  <dcterms:modified xsi:type="dcterms:W3CDTF">2022-09-07T02:25:41Z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7587A837922A410C8CB5F197320177F5</vt:lpwstr>
  </property>
</Properties>
</file>