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岚皋县审计局2021年政府信息公开工作年度报告</w:t>
      </w:r>
    </w:p>
    <w:p>
      <w:pPr>
        <w:rPr>
          <w:rFonts w:hint="eastAsia"/>
        </w:rPr>
      </w:pPr>
    </w:p>
    <w:p>
      <w:pPr>
        <w:rPr>
          <w:rFonts w:hint="eastAsia"/>
        </w:rPr>
      </w:pPr>
    </w:p>
    <w:p>
      <w:pPr>
        <w:keepNext w:val="0"/>
        <w:keepLines w:val="0"/>
        <w:widowControl/>
        <w:suppressLineNumbers w:val="0"/>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一、总体情况</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2021年，岚皋县审计局认真贯彻落实《中华人民共和国政府信息公开条例》、《国务院办公厅政府信息与政务公开办公室关于政府信息公开工作年度报告有关事项的通知》（国办公开办函〔2019〕60号）等要求，紧密结合审计工作实际，全力推进政府信息公开工作。相关情况如下：</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一）主动公开情况。主要通过岚皋县政府网站政府信息公开栏目主动公开政府信息。2021年公开了《岚皋县审计局2020年部门决算公开》、《岚皋县审计局2021年部门综合预算公开》，公开了《民主镇电子商务中心改造项目竣工结算的审计结果》等35个工程竣工结算审计结果，发布新闻信息9条。</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（二）依申请公开情况。2021年未发生依申请公开事项。</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（三）政府信息管理情况。2021年，严格按照《政府信息公开条例》规定，规范主动公开政府信息的发布内容、形式、程序、时限等内容。同时，严格执行保密工作相关要求。</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（四）平台建设情况。通过岚皋县政府网站政府信息公开栏目开展政务信息公开工作。</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kern w:val="0"/>
          <w:sz w:val="32"/>
          <w:szCs w:val="32"/>
          <w:lang w:val="en-US" w:eastAsia="zh-CN" w:bidi="ar"/>
        </w:rPr>
        <w:t>（五）监督保障情况。将政务信息公开工作纳入年度目标考核。严把信息发布关，确需公开的信息必须经股室负责人、分管领导、主要领导审核后，方能予以发布。</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（六）本报告中使用数据统计期限为2021年1月1日至12月31日。</w:t>
      </w:r>
    </w:p>
    <w:p>
      <w:pPr>
        <w:keepNext w:val="0"/>
        <w:keepLines w:val="0"/>
        <w:widowControl/>
        <w:suppressLineNumbers w:val="0"/>
        <w:spacing w:before="0" w:beforeAutospacing="0" w:after="0" w:afterAutospacing="0"/>
        <w:ind w:left="0" w:right="0" w:firstLine="420"/>
        <w:jc w:val="left"/>
        <w:rPr>
          <w:rFonts w:hint="eastAsia" w:ascii="仿宋_GB2312" w:hAnsi="仿宋_GB2312"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kern w:val="0"/>
          <w:sz w:val="32"/>
          <w:szCs w:val="32"/>
          <w:lang w:val="en-US" w:eastAsia="zh-CN" w:bidi="ar"/>
        </w:rPr>
      </w:pPr>
      <w:r>
        <w:rPr>
          <w:rFonts w:hint="eastAsia" w:ascii="仿宋_GB2312" w:hAnsi="仿宋_GB2312" w:eastAsia="仿宋_GB2312" w:cs="仿宋_GB2312"/>
          <w:i w:val="0"/>
          <w:iCs w:val="0"/>
          <w:caps w:val="0"/>
          <w:color w:val="000000"/>
          <w:spacing w:val="0"/>
          <w:kern w:val="0"/>
          <w:sz w:val="32"/>
          <w:szCs w:val="32"/>
          <w:lang w:val="en-US" w:eastAsia="zh-CN" w:bidi="ar"/>
        </w:rPr>
        <w:t>二、主动公开政府信息情况</w:t>
      </w:r>
    </w:p>
    <w:p>
      <w:pPr>
        <w:keepNext w:val="0"/>
        <w:keepLines w:val="0"/>
        <w:widowControl/>
        <w:suppressLineNumbers w:val="0"/>
        <w:spacing w:before="0" w:beforeAutospacing="0" w:after="0" w:afterAutospacing="0"/>
        <w:ind w:left="0" w:right="0" w:firstLine="420"/>
        <w:jc w:val="both"/>
        <w:rPr>
          <w:rFonts w:hint="eastAsia" w:ascii="仿宋_GB2312" w:hAnsi="仿宋_GB2312" w:eastAsia="仿宋_GB2312" w:cs="仿宋_GB2312"/>
          <w:i w:val="0"/>
          <w:iCs w:val="0"/>
          <w:caps w:val="0"/>
          <w:color w:val="000000"/>
          <w:spacing w:val="0"/>
          <w:kern w:val="0"/>
          <w:sz w:val="32"/>
          <w:szCs w:val="32"/>
          <w:lang w:val="en-US" w:eastAsia="zh-CN" w:bidi="ar"/>
        </w:rPr>
      </w:pP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105"/>
        <w:gridCol w:w="2105"/>
        <w:gridCol w:w="2105"/>
        <w:gridCol w:w="21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规章</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行政规范性文件</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c>
          <w:tcPr>
            <w:tcW w:w="2435"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行政许可</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行政处罚</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行政强制</w:t>
            </w:r>
          </w:p>
        </w:tc>
        <w:tc>
          <w:tcPr>
            <w:tcW w:w="7305" w:type="dxa"/>
            <w:gridSpan w:val="3"/>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信息内容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行政事业性收费</w:t>
            </w:r>
          </w:p>
        </w:tc>
        <w:tc>
          <w:tcPr>
            <w:tcW w:w="7305" w:type="dxa"/>
            <w:gridSpan w:val="3"/>
            <w:tcBorders>
              <w:top w:val="nil"/>
              <w:left w:val="nil"/>
              <w:bottom w:val="single" w:color="auto" w:sz="8" w:space="0"/>
              <w:right w:val="single" w:color="000000"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w:t>
            </w:r>
          </w:p>
        </w:tc>
      </w:tr>
    </w:tbl>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三、收到和处理政府信息公开申请情况</w:t>
      </w: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bookmarkStart w:id="0" w:name="_GoBack"/>
      <w:bookmarkEnd w:id="0"/>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725"/>
        <w:gridCol w:w="916"/>
        <w:gridCol w:w="2581"/>
        <w:gridCol w:w="607"/>
        <w:gridCol w:w="607"/>
        <w:gridCol w:w="607"/>
        <w:gridCol w:w="607"/>
        <w:gridCol w:w="607"/>
        <w:gridCol w:w="607"/>
        <w:gridCol w:w="6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932" w:type="dxa"/>
            <w:gridSpan w:val="3"/>
            <w:vMerge w:val="restart"/>
            <w:tcBorders>
              <w:top w:val="single" w:color="auto" w:sz="8" w:space="0"/>
              <w:left w:val="single" w:color="auto" w:sz="8" w:space="0"/>
              <w:bottom w:val="inset"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（本列数据的勾稽关系为：第一项加第二项之和，等于第三项加第四项之和）</w:t>
            </w:r>
          </w:p>
        </w:tc>
        <w:tc>
          <w:tcPr>
            <w:tcW w:w="4816" w:type="dxa"/>
            <w:gridSpan w:val="7"/>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88" w:type="dxa"/>
            <w:vMerge w:val="restart"/>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自然人</w:t>
            </w:r>
          </w:p>
        </w:tc>
        <w:tc>
          <w:tcPr>
            <w:tcW w:w="3440" w:type="dxa"/>
            <w:gridSpan w:val="5"/>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法人或其他组织</w:t>
            </w:r>
          </w:p>
        </w:tc>
        <w:tc>
          <w:tcPr>
            <w:tcW w:w="688" w:type="dxa"/>
            <w:vMerge w:val="restart"/>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932" w:type="dxa"/>
            <w:gridSpan w:val="3"/>
            <w:vMerge w:val="continue"/>
            <w:tcBorders>
              <w:top w:val="single" w:color="auto" w:sz="8" w:space="0"/>
              <w:left w:val="single" w:color="auto" w:sz="8" w:space="0"/>
              <w:bottom w:val="inset"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88" w:type="dxa"/>
            <w:vMerge w:val="continue"/>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商业</w:t>
            </w:r>
          </w:p>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企业</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科研</w:t>
            </w:r>
          </w:p>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社会公益组织</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法律服务机构</w:t>
            </w:r>
          </w:p>
        </w:tc>
        <w:tc>
          <w:tcPr>
            <w:tcW w:w="688" w:type="dxa"/>
            <w:tcBorders>
              <w:top w:val="single" w:color="auto" w:sz="8" w:space="0"/>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其他</w:t>
            </w:r>
          </w:p>
        </w:tc>
        <w:tc>
          <w:tcPr>
            <w:tcW w:w="688"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一、本年新收政府信息公开申请数量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二、上年结转政府信息公开申请数量</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restart"/>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三、本年度办理结果</w:t>
            </w: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（一）予以公开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（二）部分公开（区分处理的，只计这一情形，不计其他情形）</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restart"/>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（三）不予公开</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1.属于国家秘密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single" w:color="auto" w:sz="8" w:space="0"/>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2.其他法律行政法规禁止公开</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3.危及“三安全一稳定”</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4.保护第三方合法权益</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5.属于三类内部事务信息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6.属于四类过程性信息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7.属于行政执法案卷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8.属于行政查询事项</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restart"/>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（四）无法提供</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1.本机关不掌握相关政府信息</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2.没有现成信息需要另行制作</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3.补正后申请内容仍不明确</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restart"/>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（五）不予处理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1.信访举报投诉类申请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2.重复申请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3.要求提供公开出版物</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4.无正当理由大量反复申请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trHeight w:val="779" w:hRule="atLeast"/>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both"/>
            </w:pPr>
            <w:r>
              <w:rPr>
                <w:rFonts w:hint="default" w:ascii="Tahoma" w:hAnsi="Tahoma" w:eastAsia="Tahoma" w:cs="Tahoma"/>
                <w:kern w:val="0"/>
                <w:sz w:val="24"/>
                <w:szCs w:val="24"/>
                <w:lang w:val="en-US" w:eastAsia="zh-CN" w:bidi="ar"/>
              </w:rPr>
              <w:t>5.要求行政机关确认或重新出具已获取信息</w:t>
            </w:r>
          </w:p>
        </w:tc>
        <w:tc>
          <w:tcPr>
            <w:tcW w:w="688"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restart"/>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（六）其他处理</w:t>
            </w: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both"/>
            </w:pPr>
            <w:r>
              <w:rPr>
                <w:rFonts w:hint="default" w:ascii="Tahoma" w:hAnsi="Tahoma" w:eastAsia="Tahoma" w:cs="Tahoma"/>
                <w:kern w:val="0"/>
                <w:sz w:val="24"/>
                <w:szCs w:val="24"/>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both"/>
            </w:pPr>
            <w:r>
              <w:rPr>
                <w:rFonts w:hint="default" w:ascii="Tahoma" w:hAnsi="Tahoma" w:eastAsia="Tahoma" w:cs="Tahoma"/>
                <w:kern w:val="0"/>
                <w:sz w:val="24"/>
                <w:szCs w:val="24"/>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943" w:type="dxa"/>
            <w:vMerge w:val="continue"/>
            <w:tcBorders>
              <w:top w:val="nil"/>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3220"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3.其他</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center"/>
        </w:trPr>
        <w:tc>
          <w:tcPr>
            <w:tcW w:w="769" w:type="dxa"/>
            <w:vMerge w:val="continue"/>
            <w:tcBorders>
              <w:top w:val="single" w:color="auto" w:sz="8" w:space="0"/>
              <w:left w:val="single" w:color="auto" w:sz="8" w:space="0"/>
              <w:bottom w:val="inset" w:color="auto" w:sz="8" w:space="0"/>
              <w:right w:val="single" w:color="auto" w:sz="8" w:space="0"/>
            </w:tcBorders>
            <w:shd w:val="clear"/>
            <w:tcMar>
              <w:top w:w="0" w:type="dxa"/>
              <w:left w:w="57" w:type="dxa"/>
              <w:bottom w:w="0" w:type="dxa"/>
              <w:right w:w="57" w:type="dxa"/>
            </w:tcMar>
            <w:vAlign w:val="center"/>
          </w:tcPr>
          <w:p>
            <w:pPr>
              <w:rPr>
                <w:rFonts w:hint="default" w:ascii="Tahoma" w:hAnsi="Tahoma" w:eastAsia="Tahoma" w:cs="Tahoma"/>
                <w:sz w:val="21"/>
                <w:szCs w:val="21"/>
              </w:rPr>
            </w:pPr>
          </w:p>
        </w:tc>
        <w:tc>
          <w:tcPr>
            <w:tcW w:w="4163" w:type="dxa"/>
            <w:gridSpan w:val="2"/>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（七）总计</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4932" w:type="dxa"/>
            <w:gridSpan w:val="3"/>
            <w:tcBorders>
              <w:top w:val="nil"/>
              <w:left w:val="single" w:color="auto" w:sz="8" w:space="0"/>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left"/>
            </w:pPr>
            <w:r>
              <w:rPr>
                <w:rFonts w:hint="default" w:ascii="Tahoma" w:hAnsi="Tahoma" w:eastAsia="Tahoma" w:cs="Tahoma"/>
                <w:kern w:val="0"/>
                <w:sz w:val="24"/>
                <w:szCs w:val="24"/>
                <w:lang w:val="en-US" w:eastAsia="zh-CN" w:bidi="ar"/>
              </w:rPr>
              <w:t>四、结转下年度继续办理</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88" w:type="dxa"/>
            <w:tcBorders>
              <w:top w:val="nil"/>
              <w:left w:val="nil"/>
              <w:bottom w:val="single" w:color="auto" w:sz="8" w:space="0"/>
              <w:right w:val="single" w:color="auto" w:sz="8" w:space="0"/>
            </w:tcBorders>
            <w:shd w:val="clear"/>
            <w:tcMar>
              <w:top w:w="0" w:type="dxa"/>
              <w:left w:w="57" w:type="dxa"/>
              <w:bottom w:w="0" w:type="dxa"/>
              <w:right w:w="57"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bl>
    <w:p>
      <w:pPr>
        <w:keepNext w:val="0"/>
        <w:keepLines w:val="0"/>
        <w:widowControl/>
        <w:suppressLineNumbers w:val="0"/>
        <w:spacing w:before="0" w:beforeAutospacing="0" w:after="0" w:afterAutospacing="0"/>
        <w:ind w:left="0" w:right="0" w:firstLine="420"/>
        <w:jc w:val="center"/>
        <w:rPr>
          <w:rFonts w:hint="default" w:ascii="Tahoma" w:hAnsi="Tahoma" w:eastAsia="Tahoma" w:cs="Tahoma"/>
          <w:i w:val="0"/>
          <w:iCs w:val="0"/>
          <w:caps w:val="0"/>
          <w:color w:val="000000"/>
          <w:spacing w:val="0"/>
          <w:sz w:val="21"/>
          <w:szCs w:val="21"/>
        </w:rPr>
      </w:pPr>
    </w:p>
    <w:p>
      <w:pPr>
        <w:keepNext w:val="0"/>
        <w:keepLines w:val="0"/>
        <w:widowControl/>
        <w:suppressLineNumbers w:val="0"/>
        <w:spacing w:before="0" w:beforeAutospacing="0" w:after="0" w:afterAutospacing="0"/>
        <w:ind w:left="0" w:right="0" w:firstLine="420"/>
        <w:jc w:val="both"/>
        <w:rPr>
          <w:rFonts w:hint="default" w:ascii="Tahoma" w:hAnsi="Tahoma" w:eastAsia="Tahoma" w:cs="Tahoma"/>
          <w:i w:val="0"/>
          <w:iCs w:val="0"/>
          <w:caps w:val="0"/>
          <w:color w:val="000000"/>
          <w:spacing w:val="0"/>
          <w:sz w:val="21"/>
          <w:szCs w:val="21"/>
        </w:rPr>
      </w:pPr>
    </w:p>
    <w:p>
      <w:pPr>
        <w:keepNext w:val="0"/>
        <w:keepLines w:val="0"/>
        <w:widowControl/>
        <w:suppressLineNumbers w:val="0"/>
        <w:spacing w:before="0" w:beforeAutospacing="0" w:after="0" w:afterAutospacing="0"/>
        <w:ind w:left="0" w:right="0" w:firstLine="420"/>
        <w:jc w:val="both"/>
        <w:rPr>
          <w:rFonts w:hint="default" w:ascii="Tahoma" w:hAnsi="Tahoma" w:eastAsia="Tahoma" w:cs="Tahoma"/>
          <w:i w:val="0"/>
          <w:iCs w:val="0"/>
          <w:caps w:val="0"/>
          <w:color w:val="000000"/>
          <w:spacing w:val="0"/>
          <w:sz w:val="21"/>
          <w:szCs w:val="21"/>
        </w:rPr>
      </w:pPr>
      <w:r>
        <w:rPr>
          <w:rFonts w:hint="default" w:ascii="仿宋_GB2312" w:hAnsi="仿宋_GB2312" w:eastAsia="仿宋_GB2312" w:cs="仿宋_GB2312"/>
          <w:i w:val="0"/>
          <w:iCs w:val="0"/>
          <w:caps w:val="0"/>
          <w:color w:val="000000"/>
          <w:spacing w:val="0"/>
          <w:kern w:val="0"/>
          <w:sz w:val="32"/>
          <w:szCs w:val="32"/>
          <w:lang w:val="en-US" w:eastAsia="zh-CN" w:bidi="ar"/>
        </w:rPr>
        <w:t>四、政府信息公开行政复议、行政诉讼情况</w:t>
      </w:r>
    </w:p>
    <w:tbl>
      <w:tblP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行政复议</w:t>
            </w:r>
          </w:p>
        </w:tc>
        <w:tc>
          <w:tcPr>
            <w:tcW w:w="6498"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结果维持</w:t>
            </w:r>
          </w:p>
        </w:tc>
        <w:tc>
          <w:tcPr>
            <w:tcW w:w="650"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纠正</w:t>
            </w:r>
          </w:p>
        </w:tc>
        <w:tc>
          <w:tcPr>
            <w:tcW w:w="65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其他</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结果</w:t>
            </w:r>
          </w:p>
        </w:tc>
        <w:tc>
          <w:tcPr>
            <w:tcW w:w="65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尚未</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审结</w:t>
            </w:r>
          </w:p>
        </w:tc>
        <w:tc>
          <w:tcPr>
            <w:tcW w:w="650"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总计</w:t>
            </w:r>
          </w:p>
        </w:tc>
        <w:tc>
          <w:tcPr>
            <w:tcW w:w="3248"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未经复议直接起诉</w:t>
            </w:r>
          </w:p>
        </w:tc>
        <w:tc>
          <w:tcPr>
            <w:tcW w:w="325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650"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50"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5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5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50"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Tahoma" w:hAnsi="Tahoma" w:eastAsia="Tahoma" w:cs="Tahoma"/>
                <w:sz w:val="21"/>
                <w:szCs w:val="21"/>
              </w:rPr>
            </w:pP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维持</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其他</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尚未</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总计</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维持</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结果</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纠正</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其他</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结果</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尚未</w:t>
            </w:r>
            <w:r>
              <w:rPr>
                <w:rFonts w:hint="default" w:ascii="Tahoma" w:hAnsi="Tahoma" w:eastAsia="Tahoma" w:cs="Tahoma"/>
                <w:kern w:val="0"/>
                <w:sz w:val="24"/>
                <w:szCs w:val="24"/>
                <w:lang w:val="en-US" w:eastAsia="zh-CN" w:bidi="ar"/>
              </w:rPr>
              <w:br w:type="textWrapping"/>
            </w:r>
            <w:r>
              <w:rPr>
                <w:rFonts w:hint="default" w:ascii="Tahoma" w:hAnsi="Tahoma" w:eastAsia="Tahoma" w:cs="Tahoma"/>
                <w:kern w:val="0"/>
                <w:sz w:val="24"/>
                <w:szCs w:val="24"/>
                <w:lang w:val="en-US" w:eastAsia="zh-CN" w:bidi="ar"/>
              </w:rPr>
              <w:t>审结</w:t>
            </w:r>
          </w:p>
        </w:tc>
        <w:tc>
          <w:tcPr>
            <w:tcW w:w="650"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2" w:hRule="atLeast"/>
          <w:jc w:val="center"/>
        </w:trPr>
        <w:tc>
          <w:tcPr>
            <w:tcW w:w="650"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49"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0 </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top"/>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c>
          <w:tcPr>
            <w:tcW w:w="6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spacing w:before="0" w:beforeAutospacing="0" w:after="0" w:afterAutospacing="0" w:line="23" w:lineRule="atLeast"/>
              <w:ind w:left="0" w:right="0"/>
              <w:jc w:val="center"/>
            </w:pPr>
            <w:r>
              <w:rPr>
                <w:rFonts w:hint="default" w:ascii="Tahoma" w:hAnsi="Tahoma" w:eastAsia="Tahoma" w:cs="Tahoma"/>
                <w:kern w:val="0"/>
                <w:sz w:val="24"/>
                <w:szCs w:val="24"/>
                <w:lang w:val="en-US" w:eastAsia="zh-CN" w:bidi="ar"/>
              </w:rPr>
              <w:t> 0</w:t>
            </w:r>
          </w:p>
        </w:tc>
      </w:tr>
    </w:tbl>
    <w:p>
      <w:pPr>
        <w:keepNext w:val="0"/>
        <w:keepLines w:val="0"/>
        <w:widowControl/>
        <w:suppressLineNumbers w:val="0"/>
        <w:spacing w:before="0" w:beforeAutospacing="0" w:after="0" w:afterAutospacing="0"/>
        <w:ind w:left="0" w:right="0" w:firstLine="420"/>
        <w:jc w:val="left"/>
        <w:rPr>
          <w:rFonts w:hint="default" w:ascii="Tahoma" w:hAnsi="Tahoma" w:eastAsia="Tahoma" w:cs="Tahoma"/>
          <w:i w:val="0"/>
          <w:iCs w:val="0"/>
          <w:caps w:val="0"/>
          <w:color w:val="000000"/>
          <w:spacing w:val="0"/>
          <w:sz w:val="21"/>
          <w:szCs w:val="21"/>
        </w:rPr>
      </w:pP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五、存在的主要问题及改进情况</w:t>
      </w: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存在主要问题：一是政府信息公开的信息面有待扩展，信息更新还不够完整；二是政务公开工作的内容形式相对单一，信息量比较小。</w:t>
      </w: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改进措施：进一步完善政务信息公开标准体系，丰富信息公开内容，加大信息公开力度，，做好信息及时更新。大力推进审计结果公告，进一步扩大审计结果公告范围，改进审计结果公告方式。</w:t>
      </w: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六、其他需要报告的事项</w:t>
      </w:r>
    </w:p>
    <w:p>
      <w:pPr>
        <w:keepNext w:val="0"/>
        <w:keepLines w:val="0"/>
        <w:widowControl/>
        <w:suppressLineNumbers w:val="0"/>
        <w:spacing w:before="0" w:beforeAutospacing="0" w:after="0" w:afterAutospacing="0"/>
        <w:ind w:left="0" w:right="0" w:firstLine="420"/>
        <w:jc w:val="left"/>
        <w:rPr>
          <w:rFonts w:hint="default" w:ascii="仿宋_GB2312" w:hAnsi="仿宋_GB2312" w:eastAsia="仿宋_GB2312" w:cs="仿宋_GB2312"/>
          <w:i w:val="0"/>
          <w:iCs w:val="0"/>
          <w:caps w:val="0"/>
          <w:color w:val="000000"/>
          <w:spacing w:val="0"/>
          <w:kern w:val="0"/>
          <w:sz w:val="32"/>
          <w:szCs w:val="32"/>
          <w:lang w:val="en-US" w:eastAsia="zh-CN" w:bidi="ar"/>
        </w:rPr>
      </w:pPr>
      <w:r>
        <w:rPr>
          <w:rFonts w:hint="default" w:ascii="仿宋_GB2312" w:hAnsi="仿宋_GB2312" w:eastAsia="仿宋_GB2312" w:cs="仿宋_GB2312"/>
          <w:i w:val="0"/>
          <w:iCs w:val="0"/>
          <w:caps w:val="0"/>
          <w:color w:val="000000"/>
          <w:spacing w:val="0"/>
          <w:kern w:val="0"/>
          <w:sz w:val="32"/>
          <w:szCs w:val="32"/>
          <w:lang w:val="en-US" w:eastAsia="zh-CN" w:bidi="ar"/>
        </w:rPr>
        <w:t>无</w:t>
      </w: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MT Extra">
    <w:panose1 w:val="05050102010205020202"/>
    <w:charset w:val="00"/>
    <w:family w:val="auto"/>
    <w:pitch w:val="default"/>
    <w:sig w:usb0="80000000" w:usb1="00000000" w:usb2="00000000" w:usb3="00000000" w:csb0="00000000" w:csb1="00000000"/>
  </w:font>
  <w:font w:name="Narkisim">
    <w:panose1 w:val="020E0502050101010101"/>
    <w:charset w:val="00"/>
    <w:family w:val="auto"/>
    <w:pitch w:val="default"/>
    <w:sig w:usb0="00000801" w:usb1="00000000" w:usb2="00000000" w:usb3="00000000" w:csb0="00000020" w:csb1="00200000"/>
  </w:font>
  <w:font w:name="MoolBoran">
    <w:panose1 w:val="020B0100010101010101"/>
    <w:charset w:val="00"/>
    <w:family w:val="auto"/>
    <w:pitch w:val="default"/>
    <w:sig w:usb0="8000000F" w:usb1="0000204A" w:usb2="00010000" w:usb3="00000000" w:csb0="00000001" w:csb1="00000000"/>
  </w:font>
  <w:font w:name="Microsoft Tai Le">
    <w:panose1 w:val="020B0502040204020203"/>
    <w:charset w:val="00"/>
    <w:family w:val="auto"/>
    <w:pitch w:val="default"/>
    <w:sig w:usb0="00000003" w:usb1="00000000" w:usb2="40000000" w:usb3="00000000" w:csb0="00000001"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dlZDczNzE4YTJkN2YzMGU5OWZlNWZiZTkwNDI2YzIifQ=="/>
  </w:docVars>
  <w:rsids>
    <w:rsidRoot w:val="00000000"/>
    <w:rsid w:val="0F8578A7"/>
    <w:rsid w:val="552578B1"/>
    <w:rsid w:val="6A3819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1573</Words>
  <Characters>1623</Characters>
  <Lines>0</Lines>
  <Paragraphs>0</Paragraphs>
  <TotalTime>3</TotalTime>
  <ScaleCrop>false</ScaleCrop>
  <LinksUpToDate>false</LinksUpToDate>
  <CharactersWithSpaces>1813</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天暖蓝</cp:lastModifiedBy>
  <dcterms:modified xsi:type="dcterms:W3CDTF">2022-09-08T01:12:16Z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51658016187641059607E682D492F3BE</vt:lpwstr>
  </property>
</Properties>
</file>