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仿宋_GB2312" w:hAnsi="仿宋_GB2312" w:eastAsia="仿宋_GB2312" w:cs="仿宋_GB2312"/>
          <w:color w:val="auto"/>
          <w:kern w:val="0"/>
          <w:sz w:val="32"/>
          <w:szCs w:val="32"/>
          <w:lang w:val="en-US" w:eastAsia="zh-CN" w:bidi="ar"/>
        </w:rPr>
      </w:pPr>
      <w:bookmarkStart w:id="0" w:name="_GoBack"/>
      <w:r>
        <w:rPr>
          <w:rFonts w:hint="eastAsia" w:ascii="方正小标宋简体" w:hAnsi="方正小标宋简体" w:eastAsia="方正小标宋简体" w:cs="方正小标宋简体"/>
          <w:color w:val="auto"/>
          <w:kern w:val="0"/>
          <w:sz w:val="44"/>
          <w:szCs w:val="44"/>
          <w:lang w:val="en-US" w:eastAsia="zh-CN" w:bidi="ar"/>
        </w:rPr>
        <w:t>岚皋县医疗保障局2020年度政府信息公开工作年度报告</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color w:val="auto"/>
          <w:kern w:val="0"/>
          <w:sz w:val="32"/>
          <w:szCs w:val="32"/>
          <w:lang w:val="en-US" w:eastAsia="zh-CN" w:bidi="ar"/>
        </w:rPr>
      </w:pPr>
    </w:p>
    <w:bookmarkEnd w:id="0"/>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一、总体情况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2020年以来，岚皋县医疗保障局认真学习贯彻习近平新时代中国特色社会主义思想，按照《中华人民共和国政府信息公开条例》、《陕西省政府信息公开规定》和县政府政务公开工作任务及要求，积极强化组织领导，紧紧围绕医疗保险工作，明确分工，落实责任，严格审查，主动加大政府信息公开力度，充分利用县政府网站、政务微信等多种形式主动公开政府信息。本报告所列统计数据的期限自2020年1月1日至2020年12月31日止。</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（一）主动公开情况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2020年，县医保局主动公开信息52条，公开信息内容涵盖政策解读、工作动态、机关职能、机构设置、办公地址、办公时间、联系方式、负责人姓名等方面信息,其中办理人大建议1件，办理政协提案1件。公开方式主要通过政府网站、电视台、印发宣传资料等途径。</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（二）依申请公开情况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截止2020年底，医保局未收到政府信息公开申请，无依申请公开信息。</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（三）政府信息管理情况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我局积极加强政府信息的规范化、标准化、信息化管理，主动加大政府信息公开力度，对所有信息都严格审查，确保信息公开的及时、透明。</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（四）平台建设情况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充分利用县政府网站、政务微信等多种形式主动公开政府信息，积极扩大群众对医保政策的知晓面，为全县基本医疗保险事业健康发展营造了良好的信息舆论，有力保障公众知情权、参与权、监督权。</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（五）监督保障情况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一是严格内部管理，把政府信息公开作为本局整体工作的重要组成部分，纳入年终目标考核，促进信息公开工作常态化、规范化。二是完善社会评议制度，广泛接受社会监督。对咨询电话和信访件都进行了及时答复，主动宣传各项政策法规。及时主动公开本局应该向社会公开的政府信息，主动接受社会各界监督。2020年，我局未发生因不履行政务公开义务而发生的责任追究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17"/>
        <w:gridCol w:w="2007"/>
        <w:gridCol w:w="2155"/>
        <w:gridCol w:w="1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本年新制作数量</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本年新公开数量</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规章</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规范性文件</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行政许可</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其他对外管理服务事项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行政处罚</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行政强制</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行政事业性收费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41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政府集中采购</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c>
          <w:tcPr>
            <w:tcW w:w="41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4.3115万元</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三、收到和处理政府信息公开申请情况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2"/>
        <w:gridCol w:w="1452"/>
        <w:gridCol w:w="2487"/>
        <w:gridCol w:w="651"/>
        <w:gridCol w:w="515"/>
        <w:gridCol w:w="515"/>
        <w:gridCol w:w="515"/>
        <w:gridCol w:w="515"/>
        <w:gridCol w:w="569"/>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helvetica" w:hAnsi="helvetica" w:eastAsia="helvetica" w:cs="helvetica"/>
                <w:sz w:val="21"/>
                <w:szCs w:val="21"/>
              </w:rPr>
            </w:pP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自然人</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商业</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企业</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科研</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社会</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公益</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组织</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法律</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服务</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其他</w:t>
            </w: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度</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办</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果</w:t>
            </w: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（一）予以公开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（三）不予公开</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1.属于国家秘密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3.危及“三安全一稳定”</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4.保护第三方合法权益</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5.属于三类内部事务信息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6.属于四类过程性信息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7.属于行政执法案卷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8.属于行政查询事项</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（四）无法提供</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（五）不予处理</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1.信访举报投诉类申请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3.要求提供公开出版物</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200" w:right="0" w:hanging="200"/>
              <w:jc w:val="left"/>
              <w:textAlignment w:val="auto"/>
            </w:pPr>
            <w:r>
              <w:rPr>
                <w:rFonts w:hint="eastAsia" w:ascii="宋体" w:hAnsi="宋体" w:eastAsia="宋体" w:cs="宋体"/>
                <w:color w:val="auto"/>
                <w:kern w:val="0"/>
                <w:sz w:val="20"/>
                <w:szCs w:val="20"/>
                <w:lang w:val="en-US" w:eastAsia="zh-CN" w:bidi="ar"/>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（六）其他处理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（七）总计</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四、结转下年度继续办理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四、政府信息公开行政复议、行政诉讼情况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55"/>
        <w:gridCol w:w="555"/>
        <w:gridCol w:w="555"/>
        <w:gridCol w:w="555"/>
        <w:gridCol w:w="600"/>
        <w:gridCol w:w="570"/>
        <w:gridCol w:w="540"/>
        <w:gridCol w:w="555"/>
        <w:gridCol w:w="555"/>
        <w:gridCol w:w="615"/>
        <w:gridCol w:w="555"/>
        <w:gridCol w:w="555"/>
        <w:gridCol w:w="555"/>
        <w:gridCol w:w="55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计</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val="en-US" w:eastAsia="zh-CN"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val="en-US" w:eastAsia="zh-CN" w:bidi="ar"/>
        </w:rPr>
        <w:t>存在的主要问题：一是政务公开工作需再提升、再规范。在政策宣传工作上使用老套路、老办法，因为缺乏专业人员，在进行发布时形式单一。二是信息公开内容还不够全面。</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val="en-US" w:eastAsia="zh-CN" w:bidi="ar"/>
        </w:rPr>
        <w:t>改进情况：（一）强化组织领导。我局领导高度重视政务公开工作，明确了专人负责,进一步理顺和完善领导体制、工作机制，定期听取情况汇报，研究解决重大问题。（二）加大信息公开力度。既要在公开数量上有所提升，更要在公开质量上有所优化；要进一步做好主动公开工作，保障公众依法行使知情权、参与权、表达权、监督权。</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val="en-US" w:eastAsia="zh-CN"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val="en-US" w:eastAsia="zh-CN" w:bidi="ar"/>
        </w:rPr>
        <w:t>无</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helvetica">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97E62B"/>
    <w:rsid w:val="7FE9F6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character" w:customStyle="1" w:styleId="7">
    <w:name w:val="默认段落字体1"/>
    <w:uiPriority w:val="0"/>
  </w:style>
  <w:style w:type="paragraph" w:customStyle="1" w:styleId="8">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Office_11.8.2.10552_F1E327BC-269C-435d-A152-05C5408002CA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ankang</dc:creator>
  <cp:lastModifiedBy>ankang</cp:lastModifiedBy>
  <dcterms:modified xsi:type="dcterms:W3CDTF">2022-09-08T11:59:02Z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