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岚皋县文化和旅游广电局2021年度政府信息公开工作年度报告</w:t>
      </w:r>
    </w:p>
    <w:p>
      <w:pPr>
        <w:rPr>
          <w:rFonts w:hint="eastAsia"/>
        </w:rPr>
      </w:pPr>
    </w:p>
    <w:p>
      <w:pPr>
        <w:keepNext w:val="0"/>
        <w:keepLines w:val="0"/>
        <w:widowControl/>
        <w:suppressLineNumbers w:val="0"/>
        <w:spacing w:before="75" w:beforeAutospacing="0" w:after="75" w:afterAutospacing="0"/>
        <w:ind w:left="0" w:right="0" w:firstLine="480"/>
        <w:jc w:val="left"/>
        <w:rPr>
          <w:rFonts w:hint="eastAsia" w:ascii="黑体" w:hAnsi="黑体" w:eastAsia="黑体" w:cs="黑体"/>
          <w:i w:val="0"/>
          <w:iCs w:val="0"/>
          <w:caps w:val="0"/>
          <w:color w:val="000000"/>
          <w:spacing w:val="0"/>
          <w:kern w:val="0"/>
          <w:sz w:val="32"/>
          <w:szCs w:val="32"/>
          <w:lang w:val="en-US" w:eastAsia="zh-CN" w:bidi="ar"/>
        </w:rPr>
      </w:pPr>
      <w:r>
        <w:rPr>
          <w:rFonts w:hint="default" w:ascii="黑体" w:hAnsi="黑体" w:eastAsia="黑体" w:cs="黑体"/>
          <w:i w:val="0"/>
          <w:iCs w:val="0"/>
          <w:caps w:val="0"/>
          <w:color w:val="000000"/>
          <w:spacing w:val="0"/>
          <w:kern w:val="0"/>
          <w:sz w:val="32"/>
          <w:szCs w:val="32"/>
          <w:lang w:val="en-US" w:eastAsia="zh-CN" w:bidi="ar"/>
        </w:rPr>
        <w:t>一、总体情况</w:t>
      </w:r>
      <w:bookmarkStart w:id="0" w:name="_GoBack"/>
      <w:bookmarkEnd w:id="0"/>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今年以来，我局政府信息公开水平逐步提高，公开内容更加及时全面。一年来，在岚皋县人民政府网发布相关信息187篇，“岚皋旅游”微信公众号发布信息1050余条，关注用户数6158人，与2020年相比，新增1388人。其中，发布内容包括旅游快讯、部门工作动态、精彩游记、乡村旅游、今日岚皋、旅游文化、实用信息、旅游贴士、岚皋景点、旅游图片等各个方面，特别是涉及重要会议、阶段性重点工作、重要活动安排、旅游相关提醒等方面的信息，我局及时发布，保证信息的准确性、实效性、权威性。</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一）主动公开情况。充分发挥“智慧旅游”网站及“岚皋旅游”公众号的信息公开平台作用，及时发布我局主要工作动态和旅游相关资讯，通报各项工作的开展情况。2021年，在岚皋县人民政府网发布相关信息187篇，“岚皋旅游”微信公众号发布信息1050余条。</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（二）申请公开情况。2021年度本部门在政府信息依申请公开方面，全年未收到政府信息公开申请。</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三）政府信息管理情况。一是加强组织领导，安排专人落实责任。按照统一协调、分工负责的原则，落实先审后发工作制度，形成了主要领导主抓、分管领导具体抓、相关股室配合抓的良好工作局面。二是加强统筹协调，坚持以县政府门户网站平台为主渠道，并通过设立开设县政府门户网站旅游专栏，主动公开、发布文化旅游广电等有关信息，特别是对部门预决算、“三公”经费预决算、政府投资项目（社会公益事业、公共文化领域等）等进行公开公示。三是加强学习培训，组织学习培训政府信息公开工作重要性和必要性，全面提高了干部职工做好政府信息公开工作的自觉性和主动性。四是加强管理机制，建立健全政府信息管理动态调整机制，确保对外发布的信息格式正确、语言精炼、内容严谨。</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四）平台建设情况。依据部门职能职责和县政府相关文件精神，我局进一步加强政府网站“游在岚皋”版块信息数据上传及管理等工作，并充实了“智慧旅游”网站数据库，开通的“岚皋旅游”抖音号，进一步提高了岚皋旅游影响力、知名度。</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五）监督保障情况。为认真贯彻落实好2021年省市县政务公开相关文件精神，我局严格按照相关要求政府信息公开工作列入本部门的重要议事日程，并加强领导、夯实责任、定期通报；为严格做好日常监测工作，我局安排专人负责，对政府网站公布的信息进行监测，保证发布的内容准确、内容严谨；为进一步提高公开质量，加强督查检查，我局认真开展信息公开监管督查工作，定期或不定期组织干部代表对政务公开情况进行督促。</w:t>
      </w:r>
    </w:p>
    <w:p>
      <w:pPr>
        <w:keepNext w:val="0"/>
        <w:keepLines w:val="0"/>
        <w:widowControl/>
        <w:suppressLineNumbers w:val="0"/>
        <w:spacing w:before="75" w:beforeAutospacing="0" w:after="75" w:afterAutospacing="0"/>
        <w:ind w:left="0" w:right="0" w:firstLine="480"/>
        <w:jc w:val="left"/>
        <w:rPr>
          <w:rFonts w:hint="default" w:ascii="黑体" w:hAnsi="黑体" w:eastAsia="黑体" w:cs="黑体"/>
          <w:i w:val="0"/>
          <w:iCs w:val="0"/>
          <w:caps w:val="0"/>
          <w:color w:val="000000"/>
          <w:spacing w:val="0"/>
          <w:kern w:val="0"/>
          <w:sz w:val="32"/>
          <w:szCs w:val="32"/>
          <w:lang w:val="en-US" w:eastAsia="zh-CN" w:bidi="ar"/>
        </w:rPr>
      </w:pPr>
      <w:r>
        <w:rPr>
          <w:rFonts w:hint="default" w:ascii="黑体" w:hAnsi="黑体" w:eastAsia="黑体" w:cs="黑体"/>
          <w:i w:val="0"/>
          <w:iCs w:val="0"/>
          <w:caps w:val="0"/>
          <w:color w:val="000000"/>
          <w:spacing w:val="0"/>
          <w:kern w:val="0"/>
          <w:sz w:val="32"/>
          <w:szCs w:val="32"/>
          <w:lang w:val="en-US" w:eastAsia="zh-CN" w:bidi="ar"/>
        </w:rPr>
        <w:t>二、主动公开政府信息情况（数据填报）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6"/>
        <w:gridCol w:w="2077"/>
        <w:gridCol w:w="2077"/>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216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本年制发件数</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本年废止件数</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规章</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行政规范性文件</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16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行政许可</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16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行政处罚</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行政强制</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165"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行政事业性收费</w:t>
            </w:r>
          </w:p>
        </w:tc>
        <w:tc>
          <w:tcPr>
            <w:tcW w:w="912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bl>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p>
    <w:p>
      <w:pPr>
        <w:keepNext w:val="0"/>
        <w:keepLines w:val="0"/>
        <w:widowControl/>
        <w:suppressLineNumbers w:val="0"/>
        <w:spacing w:before="75" w:beforeAutospacing="0" w:after="75" w:afterAutospacing="0"/>
        <w:ind w:left="0" w:right="0" w:firstLine="480"/>
        <w:jc w:val="left"/>
        <w:rPr>
          <w:rFonts w:hint="default" w:ascii="黑体" w:hAnsi="黑体" w:eastAsia="黑体" w:cs="黑体"/>
          <w:i w:val="0"/>
          <w:iCs w:val="0"/>
          <w:caps w:val="0"/>
          <w:color w:val="000000"/>
          <w:spacing w:val="0"/>
          <w:kern w:val="0"/>
          <w:sz w:val="32"/>
          <w:szCs w:val="32"/>
          <w:lang w:val="en-US" w:eastAsia="zh-CN" w:bidi="ar"/>
        </w:rPr>
      </w:pPr>
      <w:r>
        <w:rPr>
          <w:rFonts w:hint="default" w:ascii="黑体" w:hAnsi="黑体" w:eastAsia="黑体" w:cs="黑体"/>
          <w:i w:val="0"/>
          <w:iCs w:val="0"/>
          <w:caps w:val="0"/>
          <w:color w:val="000000"/>
          <w:spacing w:val="0"/>
          <w:kern w:val="0"/>
          <w:sz w:val="32"/>
          <w:szCs w:val="32"/>
          <w:lang w:val="en-US" w:eastAsia="zh-CN" w:bidi="ar"/>
        </w:rPr>
        <w:t>三、收到和处理政府信息公开申请情况（数据填报）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0"/>
        <w:gridCol w:w="955"/>
        <w:gridCol w:w="2281"/>
        <w:gridCol w:w="559"/>
        <w:gridCol w:w="559"/>
        <w:gridCol w:w="559"/>
        <w:gridCol w:w="559"/>
        <w:gridCol w:w="559"/>
        <w:gridCol w:w="574"/>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435"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（本列数据的勾稽关系为：第一项加第二项之和，等于第三项加第四项之和）</w:t>
            </w:r>
          </w:p>
        </w:tc>
        <w:tc>
          <w:tcPr>
            <w:tcW w:w="6240"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43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自然人</w:t>
            </w:r>
          </w:p>
        </w:tc>
        <w:tc>
          <w:tcPr>
            <w:tcW w:w="445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法人或其他组织</w:t>
            </w:r>
          </w:p>
        </w:tc>
        <w:tc>
          <w:tcPr>
            <w:tcW w:w="8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43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商业</w:t>
            </w:r>
          </w:p>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企业</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科研</w:t>
            </w:r>
          </w:p>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机构</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社会公益组织</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法律服务机构</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其他</w:t>
            </w:r>
          </w:p>
        </w:tc>
        <w:tc>
          <w:tcPr>
            <w:tcW w:w="8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43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一、本年新收政府信息公开申请数量</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43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二、上年结转政府信息公开申请数量</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ind w:left="0" w:right="0" w:firstLine="480"/>
              <w:jc w:val="left"/>
              <w:rPr>
                <w:rFonts w:hint="eastAsia" w:ascii="黑体" w:hAnsi="黑体" w:eastAsia="黑体" w:cs="黑体"/>
                <w:i w:val="0"/>
                <w:iCs w:val="0"/>
                <w:caps w:val="0"/>
                <w:color w:val="000000"/>
                <w:spacing w:val="0"/>
                <w:kern w:val="0"/>
                <w:sz w:val="32"/>
                <w:szCs w:val="32"/>
                <w:lang w:val="en-US" w:eastAsia="zh-CN" w:bidi="ar"/>
              </w:rPr>
            </w:pPr>
            <w:r>
              <w:rPr>
                <w:rFonts w:hint="default" w:ascii="黑体" w:hAnsi="黑体" w:eastAsia="黑体" w:cs="黑体"/>
                <w:i w:val="0"/>
                <w:iCs w:val="0"/>
                <w:caps w:val="0"/>
                <w:color w:val="000000"/>
                <w:spacing w:val="0"/>
                <w:kern w:val="0"/>
                <w:sz w:val="32"/>
                <w:szCs w:val="32"/>
                <w:lang w:val="en-US" w:eastAsia="zh-CN" w:bidi="ar"/>
              </w:rPr>
              <w:t>三、本年度办理结果</w:t>
            </w:r>
          </w:p>
        </w:tc>
        <w:tc>
          <w:tcPr>
            <w:tcW w:w="54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（一）予以公开</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54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（二）部分公开（区分处理的，只计这一情形，不计其他情形）</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（三）不予公开</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1.属于国家秘密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2.其他法律行政法规禁止公开</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3.危及“三安全一稳定”</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4.保护第三方合法权益</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5.属于三类内部事务信息</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6.属于四类过程性信息</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7.属于行政执法案卷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8.属于行政查询事项</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（四）无法提供</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1.本机关不掌握相关政府信息</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2.没有现成信息需要另行制作</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3.补正后申请内容仍不明确</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（五）不予处理</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1.信访举报投诉类申请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2.重复申请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3.要求提供公开出版物</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4.无正当理由大量反复申请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5.要求行政机关确认或重新出具已获取信息</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（六）其他处理</w:t>
            </w: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1.申请人无正当理由逾期不补正、行政机关不再处理其政府信息公开申请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2.申请人逾期未按收费通知要求缴纳费用、行政机关不再处理其政府信息公开申请</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11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3.其他</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54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（七）总计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3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kern w:val="0"/>
                <w:sz w:val="24"/>
                <w:szCs w:val="24"/>
                <w:lang w:val="en-US" w:eastAsia="zh-CN" w:bidi="ar"/>
              </w:rPr>
              <w:t>四、结转下年度继续办理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bl>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r>
        <w:rPr>
          <w:rFonts w:hint="default" w:ascii="黑体" w:hAnsi="黑体" w:eastAsia="黑体" w:cs="黑体"/>
          <w:i w:val="0"/>
          <w:iCs w:val="0"/>
          <w:caps w:val="0"/>
          <w:color w:val="000000"/>
          <w:spacing w:val="0"/>
          <w:kern w:val="0"/>
          <w:sz w:val="32"/>
          <w:szCs w:val="32"/>
          <w:lang w:val="en-US" w:eastAsia="zh-CN" w:bidi="ar"/>
        </w:rPr>
        <w:t>四、政府信息公开行政复议、行政诉讼情况（数据填报）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5"/>
        <w:gridCol w:w="555"/>
        <w:gridCol w:w="555"/>
        <w:gridCol w:w="555"/>
        <w:gridCol w:w="555"/>
        <w:gridCol w:w="555"/>
        <w:gridCol w:w="555"/>
        <w:gridCol w:w="555"/>
        <w:gridCol w:w="555"/>
        <w:gridCol w:w="555"/>
        <w:gridCol w:w="555"/>
        <w:gridCol w:w="555"/>
        <w:gridCol w:w="556"/>
        <w:gridCol w:w="556"/>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5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行政复议</w:t>
            </w:r>
          </w:p>
        </w:tc>
        <w:tc>
          <w:tcPr>
            <w:tcW w:w="8115" w:type="dxa"/>
            <w:gridSpan w:val="10"/>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结果维持</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总计</w:t>
            </w:r>
          </w:p>
        </w:tc>
        <w:tc>
          <w:tcPr>
            <w:tcW w:w="405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未经复议直接起诉</w:t>
            </w:r>
          </w:p>
        </w:tc>
        <w:tc>
          <w:tcPr>
            <w:tcW w:w="406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维持</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总计</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维持</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kern w:val="0"/>
                <w:sz w:val="24"/>
                <w:szCs w:val="24"/>
                <w:lang w:val="en-US" w:eastAsia="zh-CN" w:bidi="ar"/>
              </w:rPr>
              <w:t>0</w:t>
            </w:r>
          </w:p>
        </w:tc>
      </w:tr>
    </w:tbl>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r>
        <w:rPr>
          <w:rFonts w:hint="default" w:ascii="黑体" w:hAnsi="黑体" w:eastAsia="黑体" w:cs="黑体"/>
          <w:i w:val="0"/>
          <w:iCs w:val="0"/>
          <w:caps w:val="0"/>
          <w:color w:val="000000"/>
          <w:spacing w:val="0"/>
          <w:kern w:val="0"/>
          <w:sz w:val="32"/>
          <w:szCs w:val="32"/>
          <w:lang w:val="en-US" w:eastAsia="zh-CN" w:bidi="ar"/>
        </w:rPr>
        <w:t>五、存在的主要问题及改进情况</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一）工作中存在的主要问题和困难。一是政府信息公开工作的实效性需要进一步提高。二是更新不够及时，公开的内容和形式有待进一步充实完善。三是对政务信息公开不够重视、不够主动，对政府信息公开的重要性认识认识不足，容易造成信息公开超时。</w:t>
      </w:r>
    </w:p>
    <w:p>
      <w:pPr>
        <w:keepNext w:val="0"/>
        <w:keepLines w:val="0"/>
        <w:widowControl/>
        <w:suppressLineNumbers w:val="0"/>
        <w:spacing w:before="75" w:beforeAutospacing="0" w:after="75" w:afterAutospacing="0"/>
        <w:ind w:left="0" w:right="0" w:firstLine="64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二）具体的解决办法和改进措施。一是加强组织领导，进一步建立健全信息公开工作动态、长效机制，优化信息公开工作的审核、协调与报批程序，完善信息公开制度，强化信息公开的责任意识、大局意识、服务意识，确保政府信息公开工作及时准确。二是进一步夯实各股室政务公开工作责任；严格按照政务公开相关文件要求，细化分解政务公开任务；进一步完善公开目录，实现政府信息的依法、全面公开。三是利用自身职能优势，加大宣传力度，认真学习《政府信息公开条例》等法律法规，积极向其他开展政府信息公开工作先进单位学习，提高我局日常政务公开信息员的业务能力水平，取长补短，推进我局政府信息公开工作迈上新台阶。四是丰富公开内容、准确分类选项、提升公开效果和服务意识，及时了解及解读相关政策、回应公众关切的问题，更好地满足公众对各种信息的需求。</w:t>
      </w:r>
    </w:p>
    <w:p>
      <w:pPr>
        <w:keepNext w:val="0"/>
        <w:keepLines w:val="0"/>
        <w:widowControl/>
        <w:suppressLineNumbers w:val="0"/>
        <w:spacing w:before="75" w:beforeAutospacing="0" w:after="75" w:afterAutospacing="0"/>
        <w:ind w:left="0" w:right="0" w:firstLine="480"/>
        <w:jc w:val="left"/>
        <w:rPr>
          <w:rFonts w:hint="default" w:ascii="黑体" w:hAnsi="黑体" w:eastAsia="黑体" w:cs="黑体"/>
          <w:i w:val="0"/>
          <w:iCs w:val="0"/>
          <w:caps w:val="0"/>
          <w:color w:val="000000"/>
          <w:spacing w:val="0"/>
          <w:kern w:val="0"/>
          <w:sz w:val="32"/>
          <w:szCs w:val="32"/>
          <w:lang w:val="en-US" w:eastAsia="zh-CN" w:bidi="ar"/>
        </w:rPr>
      </w:pPr>
      <w:r>
        <w:rPr>
          <w:rFonts w:hint="default" w:ascii="黑体" w:hAnsi="黑体" w:eastAsia="黑体" w:cs="黑体"/>
          <w:i w:val="0"/>
          <w:iCs w:val="0"/>
          <w:caps w:val="0"/>
          <w:color w:val="000000"/>
          <w:spacing w:val="0"/>
          <w:kern w:val="0"/>
          <w:sz w:val="32"/>
          <w:szCs w:val="32"/>
          <w:lang w:val="en-US" w:eastAsia="zh-CN" w:bidi="ar"/>
        </w:rPr>
        <w:t>六、其他需要报告的事项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r>
        <w:rPr>
          <w:rFonts w:hint="default" w:ascii="仿宋_GB2312" w:hAnsi="仿宋_GB2312" w:eastAsia="仿宋_GB2312" w:cs="仿宋_GB2312"/>
          <w:i w:val="0"/>
          <w:iCs w:val="0"/>
          <w:caps w:val="0"/>
          <w:color w:val="000000"/>
          <w:spacing w:val="0"/>
          <w:kern w:val="0"/>
          <w:sz w:val="32"/>
          <w:szCs w:val="32"/>
          <w:lang w:val="en-US" w:eastAsia="zh-CN" w:bidi="ar"/>
        </w:rPr>
        <w:t>无</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7BE0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天暖蓝</cp:lastModifiedBy>
  <dcterms:modified xsi:type="dcterms:W3CDTF">2022-09-08T06:05:26Z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8A1AAD99E80E412D90271E16DE4940C7</vt:lpwstr>
  </property>
</Properties>
</file>