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岚皋县农业农村局2021年度政府信息公开工作年度报告</w:t>
      </w:r>
    </w:p>
    <w:p>
      <w:pPr>
        <w:rPr>
          <w:rFonts w:hint="eastAsia"/>
        </w:rPr>
      </w:pPr>
    </w:p>
    <w:p>
      <w:pPr>
        <w:keepNext w:val="0"/>
        <w:keepLines w:val="0"/>
        <w:widowControl/>
        <w:suppressLineNumbers w:val="0"/>
        <w:spacing w:before="75" w:beforeAutospacing="0" w:after="75" w:afterAutospacing="0"/>
        <w:ind w:left="0" w:right="0" w:firstLine="480"/>
        <w:jc w:val="left"/>
        <w:rPr>
          <w:rFonts w:hint="eastAsia"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2021年，岚皋县农业农村局在县委、县政府的领导下，严格按照《中华人民共和国政府信息公开条例》工作要求，贯彻落实决策部署，加强领导，落实责任，精心组织，强化管理，加强新媒体建设，加大信息公开力度，为使政务公开工作不流于形式，不走过场，我局着眼于建立政务公开长效机制，使政务公开成为一种自觉的意识和行为。</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1.主动公开情况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2021年，通过岚皋县政府网站公布信息总数117条，内容涵盖规范性文件、政策解读、工作动态、机构设置等方面。安康市农业农村局、陕西省农业农村厅公布信息69条；并在《安康日报》、《人民日报》、《光明日报》、《农民日报》、《陕西日报》等发稿80余篇。</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2.依申请公开情况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2021年我局未收到政府信息公开申请。</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3.政府信息管理情况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制定印发了《岚皋县农业农村局2021年政府信息公开工作计划》、政府信息公开管理制度及领导小组工作职责。并对照农业农村系统信息重点公开内容，结合各股室职责，对需要依规公开的信息进行了明确。</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4.平台建设</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确定了专人负责政府信息公开工作，负责对政府信息公开保密审查工作进行监督和指导，负责信息发布、网上依申请公开等工作。</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5.监督保障</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我局严格按照《中华人民共和国政府信息公开条例》相关要求，公开工作流程，监管执法公开透明。为进一步加大监督检查力度，我局政务信息公开领导小组将采取定期或不定期检查形式对局属各股室政务公开情况进行检查，并通报检查结果，以督促全局政务信息公开工作落到实处。</w:t>
      </w: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二、主动公开政府信息情况</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00"/>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4"/>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信息内容</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本年制发件数</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本年废止件数</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规章</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行政规范性文件</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4"/>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信息内容</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行政许可</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4"/>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信息内容</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行政处罚</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行政强制</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4"/>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信息内容</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行政事业性收费</w:t>
            </w:r>
          </w:p>
        </w:tc>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w:t>
            </w:r>
          </w:p>
        </w:tc>
      </w:tr>
    </w:tbl>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三、收到和处理政府信息公开申请情况</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995"/>
        <w:gridCol w:w="3285"/>
        <w:gridCol w:w="407"/>
        <w:gridCol w:w="324"/>
        <w:gridCol w:w="324"/>
        <w:gridCol w:w="659"/>
        <w:gridCol w:w="659"/>
        <w:gridCol w:w="324"/>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3"/>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（本列数据的勾稽关系为：第一项加第二项之和，等于第三项加第四项之和）</w:t>
            </w:r>
          </w:p>
        </w:tc>
        <w:tc>
          <w:tcPr>
            <w:tcW w:w="0" w:type="auto"/>
            <w:gridSpan w:val="7"/>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3"/>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自然人</w:t>
            </w:r>
          </w:p>
        </w:tc>
        <w:tc>
          <w:tcPr>
            <w:tcW w:w="0" w:type="auto"/>
            <w:gridSpan w:val="5"/>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法人或其他组织</w:t>
            </w: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3"/>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商业</w:t>
            </w:r>
          </w:p>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企业</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科研</w:t>
            </w:r>
          </w:p>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机构</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社会公益组织</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法律服务机构</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其他</w:t>
            </w: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一、本年新收政府信息公开申请数量</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二、上年结转政府信息公开申请数量</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三、本年度办理结果</w:t>
            </w:r>
          </w:p>
        </w:tc>
        <w:tc>
          <w:tcPr>
            <w:tcW w:w="0" w:type="auto"/>
            <w:gridSpan w:val="2"/>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（一）予以公开</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gridSpan w:val="2"/>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（二）部分公开（区分处理的，只计这一情形，不计其他情形）</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（三）不予公开</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1.属于国家秘密</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2.其他法律行政法规禁止公开</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3.危及“三安全一稳定”</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4.保护第三方合法权益</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5.属于三类内部事务信息</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6.属于四类过程性信息</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7.属于行政执法案卷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8.属于行政查询事项</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（四）无法提供</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1.本机关不掌握相关政府信息</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2.没有现成信息需要另行制作</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3.补正后申请内容仍不明确</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（五）不予处理</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1.信访举报投诉类申请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2.重复申请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3.要求提供公开出版物</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4.无正当理由大量反复申请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5.要求行政机关确认或重新出具已获取信息</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（六）其他处理</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1.申请人无正当理由逾期不补正、行政机关不再处理其政府信息公开申请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2.申请人逾期未按收费通知要求缴纳费用、行政机关不再处理其政府信息公开申请</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3.其他</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gridSpan w:val="2"/>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（七）总计</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四、结转下年度继续办理</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w:t>
            </w:r>
          </w:p>
        </w:tc>
      </w:tr>
    </w:tbl>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四、政府信息公开行政复议、行政诉讼情况</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0"/>
        <w:gridCol w:w="450"/>
        <w:gridCol w:w="450"/>
        <w:gridCol w:w="450"/>
        <w:gridCol w:w="450"/>
        <w:gridCol w:w="450"/>
        <w:gridCol w:w="450"/>
        <w:gridCol w:w="450"/>
        <w:gridCol w:w="450"/>
        <w:gridCol w:w="450"/>
        <w:gridCol w:w="450"/>
        <w:gridCol w:w="450"/>
        <w:gridCol w:w="450"/>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gridSpan w:val="5"/>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行政复议</w:t>
            </w:r>
          </w:p>
        </w:tc>
        <w:tc>
          <w:tcPr>
            <w:tcW w:w="0" w:type="auto"/>
            <w:gridSpan w:val="10"/>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结果维持</w:t>
            </w: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w:t>
            </w:r>
            <w:r>
              <w:rPr>
                <w:rFonts w:hint="default" w:ascii="Tahoma" w:hAnsi="Tahoma" w:eastAsia="Tahoma" w:cs="Tahoma"/>
                <w:sz w:val="21"/>
                <w:szCs w:val="21"/>
              </w:rPr>
              <w:br w:type="textWrapping"/>
            </w:r>
            <w:r>
              <w:rPr>
                <w:rFonts w:hint="default" w:ascii="Tahoma" w:hAnsi="Tahoma" w:eastAsia="Tahoma" w:cs="Tahoma"/>
                <w:sz w:val="21"/>
                <w:szCs w:val="21"/>
              </w:rPr>
              <w:t>纠正</w:t>
            </w: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其他</w:t>
            </w:r>
            <w:r>
              <w:rPr>
                <w:rFonts w:hint="default" w:ascii="Tahoma" w:hAnsi="Tahoma" w:eastAsia="Tahoma" w:cs="Tahoma"/>
                <w:sz w:val="21"/>
                <w:szCs w:val="21"/>
              </w:rPr>
              <w:br w:type="textWrapping"/>
            </w:r>
            <w:r>
              <w:rPr>
                <w:rFonts w:hint="default" w:ascii="Tahoma" w:hAnsi="Tahoma" w:eastAsia="Tahoma" w:cs="Tahoma"/>
                <w:sz w:val="21"/>
                <w:szCs w:val="21"/>
              </w:rPr>
              <w:t>结果</w:t>
            </w: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尚未</w:t>
            </w:r>
            <w:r>
              <w:rPr>
                <w:rFonts w:hint="default" w:ascii="Tahoma" w:hAnsi="Tahoma" w:eastAsia="Tahoma" w:cs="Tahoma"/>
                <w:sz w:val="21"/>
                <w:szCs w:val="21"/>
              </w:rPr>
              <w:br w:type="textWrapping"/>
            </w:r>
            <w:r>
              <w:rPr>
                <w:rFonts w:hint="default" w:ascii="Tahoma" w:hAnsi="Tahoma" w:eastAsia="Tahoma" w:cs="Tahoma"/>
                <w:sz w:val="21"/>
                <w:szCs w:val="21"/>
              </w:rPr>
              <w:t>审结</w:t>
            </w:r>
          </w:p>
        </w:tc>
        <w:tc>
          <w:tcPr>
            <w:tcW w:w="0" w:type="auto"/>
            <w:vMerge w:val="restart"/>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总计</w:t>
            </w:r>
          </w:p>
        </w:tc>
        <w:tc>
          <w:tcPr>
            <w:tcW w:w="0" w:type="auto"/>
            <w:gridSpan w:val="5"/>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未经复议直接起诉</w:t>
            </w:r>
          </w:p>
        </w:tc>
        <w:tc>
          <w:tcPr>
            <w:tcW w:w="0" w:type="auto"/>
            <w:gridSpan w:val="5"/>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vMerge w:val="continue"/>
            <w:tcBorders>
              <w:top w:val="dotted" w:color="AAAAAA" w:sz="6" w:space="0"/>
              <w:left w:val="dotted" w:color="AAAAAA" w:sz="6" w:space="0"/>
              <w:bottom w:val="dotted" w:color="AAAAAA" w:sz="6" w:space="0"/>
              <w:right w:val="dotted" w:color="AAAAAA" w:sz="6" w:space="0"/>
            </w:tcBorders>
            <w:shd w:val="clear"/>
            <w:vAlign w:val="center"/>
          </w:tcPr>
          <w:p>
            <w:pPr>
              <w:rPr>
                <w:rFonts w:hint="default" w:ascii="Tahoma" w:hAnsi="Tahoma" w:eastAsia="Tahoma" w:cs="Tahoma"/>
                <w:sz w:val="21"/>
                <w:szCs w:val="21"/>
              </w:rPr>
            </w:pP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w:t>
            </w:r>
            <w:r>
              <w:rPr>
                <w:rFonts w:hint="default" w:ascii="Tahoma" w:hAnsi="Tahoma" w:eastAsia="Tahoma" w:cs="Tahoma"/>
                <w:sz w:val="21"/>
                <w:szCs w:val="21"/>
              </w:rPr>
              <w:br w:type="textWrapping"/>
            </w:r>
            <w:r>
              <w:rPr>
                <w:rFonts w:hint="default" w:ascii="Tahoma" w:hAnsi="Tahoma" w:eastAsia="Tahoma" w:cs="Tahoma"/>
                <w:sz w:val="21"/>
                <w:szCs w:val="21"/>
              </w:rPr>
              <w:t>维持</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w:t>
            </w:r>
            <w:r>
              <w:rPr>
                <w:rFonts w:hint="default" w:ascii="Tahoma" w:hAnsi="Tahoma" w:eastAsia="Tahoma" w:cs="Tahoma"/>
                <w:sz w:val="21"/>
                <w:szCs w:val="21"/>
              </w:rPr>
              <w:br w:type="textWrapping"/>
            </w:r>
            <w:r>
              <w:rPr>
                <w:rFonts w:hint="default" w:ascii="Tahoma" w:hAnsi="Tahoma" w:eastAsia="Tahoma" w:cs="Tahoma"/>
                <w:sz w:val="21"/>
                <w:szCs w:val="21"/>
              </w:rPr>
              <w:t>纠正</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其他</w:t>
            </w:r>
            <w:r>
              <w:rPr>
                <w:rFonts w:hint="default" w:ascii="Tahoma" w:hAnsi="Tahoma" w:eastAsia="Tahoma" w:cs="Tahoma"/>
                <w:sz w:val="21"/>
                <w:szCs w:val="21"/>
              </w:rPr>
              <w:br w:type="textWrapping"/>
            </w:r>
            <w:r>
              <w:rPr>
                <w:rFonts w:hint="default" w:ascii="Tahoma" w:hAnsi="Tahoma" w:eastAsia="Tahoma" w:cs="Tahoma"/>
                <w:sz w:val="21"/>
                <w:szCs w:val="21"/>
              </w:rPr>
              <w:t>结果</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尚未</w:t>
            </w:r>
            <w:r>
              <w:rPr>
                <w:rFonts w:hint="default" w:ascii="Tahoma" w:hAnsi="Tahoma" w:eastAsia="Tahoma" w:cs="Tahoma"/>
                <w:sz w:val="21"/>
                <w:szCs w:val="21"/>
              </w:rPr>
              <w:br w:type="textWrapping"/>
            </w:r>
            <w:r>
              <w:rPr>
                <w:rFonts w:hint="default" w:ascii="Tahoma" w:hAnsi="Tahoma" w:eastAsia="Tahoma" w:cs="Tahoma"/>
                <w:sz w:val="21"/>
                <w:szCs w:val="21"/>
              </w:rPr>
              <w:t>审结</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总计</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w:t>
            </w:r>
            <w:r>
              <w:rPr>
                <w:rFonts w:hint="default" w:ascii="Tahoma" w:hAnsi="Tahoma" w:eastAsia="Tahoma" w:cs="Tahoma"/>
                <w:sz w:val="21"/>
                <w:szCs w:val="21"/>
              </w:rPr>
              <w:br w:type="textWrapping"/>
            </w:r>
            <w:r>
              <w:rPr>
                <w:rFonts w:hint="default" w:ascii="Tahoma" w:hAnsi="Tahoma" w:eastAsia="Tahoma" w:cs="Tahoma"/>
                <w:sz w:val="21"/>
                <w:szCs w:val="21"/>
              </w:rPr>
              <w:t>维持</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结果</w:t>
            </w:r>
            <w:r>
              <w:rPr>
                <w:rFonts w:hint="default" w:ascii="Tahoma" w:hAnsi="Tahoma" w:eastAsia="Tahoma" w:cs="Tahoma"/>
                <w:sz w:val="21"/>
                <w:szCs w:val="21"/>
              </w:rPr>
              <w:br w:type="textWrapping"/>
            </w:r>
            <w:r>
              <w:rPr>
                <w:rFonts w:hint="default" w:ascii="Tahoma" w:hAnsi="Tahoma" w:eastAsia="Tahoma" w:cs="Tahoma"/>
                <w:sz w:val="21"/>
                <w:szCs w:val="21"/>
              </w:rPr>
              <w:t>纠正</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其他</w:t>
            </w:r>
            <w:r>
              <w:rPr>
                <w:rFonts w:hint="default" w:ascii="Tahoma" w:hAnsi="Tahoma" w:eastAsia="Tahoma" w:cs="Tahoma"/>
                <w:sz w:val="21"/>
                <w:szCs w:val="21"/>
              </w:rPr>
              <w:br w:type="textWrapping"/>
            </w:r>
            <w:r>
              <w:rPr>
                <w:rFonts w:hint="default" w:ascii="Tahoma" w:hAnsi="Tahoma" w:eastAsia="Tahoma" w:cs="Tahoma"/>
                <w:sz w:val="21"/>
                <w:szCs w:val="21"/>
              </w:rPr>
              <w:t>结果</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尚未</w:t>
            </w:r>
            <w:r>
              <w:rPr>
                <w:rFonts w:hint="default" w:ascii="Tahoma" w:hAnsi="Tahoma" w:eastAsia="Tahoma" w:cs="Tahoma"/>
                <w:sz w:val="21"/>
                <w:szCs w:val="21"/>
              </w:rPr>
              <w:br w:type="textWrapping"/>
            </w:r>
            <w:r>
              <w:rPr>
                <w:rFonts w:hint="default" w:ascii="Tahoma" w:hAnsi="Tahoma" w:eastAsia="Tahoma" w:cs="Tahoma"/>
                <w:sz w:val="21"/>
                <w:szCs w:val="21"/>
              </w:rPr>
              <w:t>审结</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0 </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 0</w:t>
            </w:r>
          </w:p>
        </w:tc>
        <w:tc>
          <w:tcPr>
            <w:tcW w:w="0" w:type="auto"/>
            <w:tcBorders>
              <w:top w:val="dotted" w:color="AAAAAA" w:sz="6" w:space="0"/>
              <w:left w:val="dotted" w:color="AAAAAA" w:sz="6" w:space="0"/>
              <w:bottom w:val="dotted" w:color="AAAAAA" w:sz="6" w:space="0"/>
              <w:right w:val="dotted" w:color="AAAAAA"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w:t>
            </w:r>
          </w:p>
        </w:tc>
      </w:tr>
    </w:tbl>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五、存在的主要问题及改进情况</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我局在2021年政府信息公开工作中，信息工作上取得了一定成绩，但其中也存在一些问题，在政策解读和一些专栏中存在认识不足，不够重视，工作积极性不高，公开信息不全面。</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在今后的工作中，我局将进一步加强信息公开工作，提高工作人员业务水平。强化信息公开中存在的薄弱点，要更加全面的，专业的发挥政务新媒体的作用。在公开平台上加大宣传力度，让群众及时了解政务信息，积极参与并提出建议。</w:t>
      </w: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bookmarkStart w:id="0" w:name="_GoBack"/>
      <w:r>
        <w:rPr>
          <w:rFonts w:hint="default" w:ascii="仿宋_GB2312" w:hAnsi="仿宋_GB2312" w:eastAsia="仿宋_GB2312" w:cs="仿宋_GB2312"/>
          <w:i w:val="0"/>
          <w:iCs w:val="0"/>
          <w:caps w:val="0"/>
          <w:color w:val="000000"/>
          <w:spacing w:val="0"/>
          <w:kern w:val="0"/>
          <w:sz w:val="32"/>
          <w:szCs w:val="32"/>
          <w:lang w:val="en-US" w:eastAsia="zh-CN" w:bidi="ar"/>
        </w:rPr>
        <w:t>（无）</w:t>
      </w:r>
    </w:p>
    <w:bookmarkEnd w:id="0"/>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7AE9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2022-09-08T06:10:40Z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CD2B078FE3FE45DB999606FB9DEA0351</vt:lpwstr>
  </property>
</Properties>
</file>