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640"/>
        <w:jc w:val="center"/>
        <w:rPr>
          <w:rFonts w:hint="eastAsia" w:ascii="方正小标宋简体" w:hAnsi="方正小标宋简体" w:eastAsia="方正小标宋简体" w:cs="方正小标宋简体"/>
          <w:i w:val="0"/>
          <w:caps w:val="0"/>
          <w:color w:val="000000"/>
          <w:spacing w:val="0"/>
          <w:kern w:val="0"/>
          <w:sz w:val="44"/>
          <w:szCs w:val="44"/>
          <w:lang w:val="en-US" w:eastAsia="zh-CN" w:bidi="ar"/>
        </w:rPr>
      </w:pPr>
      <w:bookmarkStart w:id="0" w:name="_GoBack"/>
      <w:r>
        <w:rPr>
          <w:rFonts w:hint="eastAsia" w:ascii="方正小标宋简体" w:hAnsi="方正小标宋简体" w:eastAsia="方正小标宋简体" w:cs="方正小标宋简体"/>
          <w:i w:val="0"/>
          <w:caps w:val="0"/>
          <w:color w:val="000000"/>
          <w:spacing w:val="0"/>
          <w:kern w:val="0"/>
          <w:sz w:val="44"/>
          <w:szCs w:val="44"/>
          <w:lang w:val="en-US" w:eastAsia="zh-CN" w:bidi="ar"/>
        </w:rPr>
        <w:t>岚皋县卫生健康局2019年政府信息公开工作年度报告</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kern w:val="0"/>
          <w:sz w:val="32"/>
          <w:szCs w:val="32"/>
          <w:lang w:val="en-US" w:eastAsia="zh-CN" w:bidi="ar"/>
        </w:rPr>
      </w:pPr>
    </w:p>
    <w:bookmarkEnd w:id="0"/>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一、总体情况</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2019年，岚皋县卫生健康局按照政府信息公开工作条例等规定，紧紧围绕全县卫生健康事业发展大局，将信息公开工作作为密切联系群众、切实转变工作作风的重要抓手，坚持公开为常态、不公开为例外原则，进一步强化服务意识和责任意识，及时、准确地向社会公开政府信息。</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一是加强组织领导。为切实加强政府信息公开工作，明确由主要领导负总责、各分管领导分工负责，局信息中心具体负责的信息公开工作机制，及时全面地公布本单位、本系统的政府信息26条。</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是及时公开卫生工作信息。加大财政性资金公开力度，及时公示、公开《岚皋县卫健局2019年部门预算公开报表》、《岚皋县卫健局2019年部门预算公开说明》等情况，逐步推进“三公”经费和行政经费公开，实现经费公开透明化。同时将本部门重要会议、政务活动、人事招聘、录取、对外采购公开招标及专家遴选信息资料情况通过县政府网站及时向社会进行公开。2019年在县政府网站（融媒体平台）、微信主动公开卫生信息182条，其中网站公布76条、县融媒体平台公布信息28条、微信发布78条。</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是健全公开制度。修订完善了政府信息公开指南和公开目录，进一步规范相关工作流程，整合规范政府信息公开工作中的主动公开、依申请公开、保密审查、责任追究、年度报告、考核评估制度，使政府信息公开制度化。</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20"/>
        <w:gridCol w:w="2010"/>
        <w:gridCol w:w="2151"/>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15</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4</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99.3万元</w:t>
            </w:r>
          </w:p>
        </w:tc>
      </w:tr>
    </w:tbl>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2"/>
        <w:gridCol w:w="1452"/>
        <w:gridCol w:w="2487"/>
        <w:gridCol w:w="651"/>
        <w:gridCol w:w="515"/>
        <w:gridCol w:w="515"/>
        <w:gridCol w:w="515"/>
        <w:gridCol w:w="515"/>
        <w:gridCol w:w="569"/>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11" w:right="0"/>
              <w:jc w:val="center"/>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7" w:right="0"/>
              <w:jc w:val="center"/>
            </w:pPr>
            <w:r>
              <w:rPr>
                <w:rFonts w:hint="eastAsia" w:ascii="宋体" w:hAnsi="宋体" w:eastAsia="宋体" w:cs="宋体"/>
                <w:color w:val="auto"/>
                <w:kern w:val="0"/>
                <w:sz w:val="20"/>
                <w:szCs w:val="20"/>
                <w:lang w:val="en-US" w:eastAsia="zh-CN" w:bidi="ar"/>
              </w:rPr>
              <w:t>商业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7" w:right="0"/>
              <w:jc w:val="center"/>
            </w:pPr>
            <w:r>
              <w:rPr>
                <w:rFonts w:hint="eastAsia" w:ascii="宋体" w:hAnsi="宋体" w:eastAsia="宋体" w:cs="宋体"/>
                <w:color w:val="auto"/>
                <w:kern w:val="0"/>
                <w:sz w:val="20"/>
                <w:szCs w:val="20"/>
                <w:lang w:val="en-US" w:eastAsia="zh-CN" w:bidi="ar"/>
              </w:rPr>
              <w:t>科研</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7" w:right="0"/>
              <w:jc w:val="center"/>
            </w:pPr>
            <w:r>
              <w:rPr>
                <w:rFonts w:hint="eastAsia" w:ascii="宋体" w:hAnsi="宋体" w:eastAsia="宋体" w:cs="宋体"/>
                <w:color w:val="auto"/>
                <w:kern w:val="0"/>
                <w:sz w:val="20"/>
                <w:szCs w:val="20"/>
                <w:lang w:val="en-US" w:eastAsia="zh-CN" w:bidi="ar"/>
              </w:rPr>
              <w:t>社会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7" w:right="0"/>
              <w:jc w:val="center"/>
            </w:pPr>
            <w:r>
              <w:rPr>
                <w:rFonts w:hint="eastAsia" w:ascii="宋体" w:hAnsi="宋体" w:eastAsia="宋体" w:cs="宋体"/>
                <w:color w:val="auto"/>
                <w:kern w:val="0"/>
                <w:sz w:val="20"/>
                <w:szCs w:val="20"/>
                <w:lang w:val="en-US" w:eastAsia="zh-CN" w:bidi="ar"/>
              </w:rPr>
              <w:t>法律</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服务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7" w:right="0"/>
              <w:jc w:val="center"/>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三</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年</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度</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办</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理</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结</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78" w:right="0"/>
              <w:jc w:val="left"/>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78" w:right="0"/>
              <w:jc w:val="left"/>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78" w:right="0"/>
              <w:jc w:val="left"/>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200" w:right="0" w:hanging="200"/>
              <w:jc w:val="left"/>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bl>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5"/>
        <w:gridCol w:w="555"/>
        <w:gridCol w:w="555"/>
        <w:gridCol w:w="555"/>
        <w:gridCol w:w="600"/>
        <w:gridCol w:w="570"/>
        <w:gridCol w:w="540"/>
        <w:gridCol w:w="555"/>
        <w:gridCol w:w="555"/>
        <w:gridCol w:w="615"/>
        <w:gridCol w:w="555"/>
        <w:gridCol w:w="555"/>
        <w:gridCol w:w="555"/>
        <w:gridCol w:w="55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99"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99" w:right="0"/>
              <w:jc w:val="center"/>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1"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101" w:right="0"/>
              <w:jc w:val="center"/>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22" w:right="0"/>
              <w:jc w:val="cente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spacing w:before="75" w:beforeAutospacing="0" w:after="75" w:afterAutospacing="0" w:line="23" w:lineRule="atLeast"/>
              <w:ind w:left="-122" w:right="0"/>
              <w:jc w:val="center"/>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28" w:right="0"/>
              <w:jc w:val="cente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spacing w:before="75" w:beforeAutospacing="0" w:after="75" w:afterAutospacing="0" w:line="23" w:lineRule="atLeast"/>
              <w:ind w:left="-128" w:right="0"/>
              <w:jc w:val="center"/>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11" w:right="0"/>
              <w:jc w:val="center"/>
            </w:pPr>
            <w:r>
              <w:rPr>
                <w:rFonts w:hint="eastAsia" w:ascii="宋体" w:hAnsi="宋体" w:eastAsia="宋体" w:cs="宋体"/>
                <w:color w:val="auto"/>
                <w:kern w:val="0"/>
                <w:sz w:val="20"/>
                <w:szCs w:val="20"/>
                <w:lang w:val="en-US" w:eastAsia="zh-CN" w:bidi="ar"/>
              </w:rPr>
              <w:t>总</w:t>
            </w:r>
          </w:p>
          <w:p>
            <w:pPr>
              <w:keepNext w:val="0"/>
              <w:keepLines w:val="0"/>
              <w:widowControl/>
              <w:suppressLineNumbers w:val="0"/>
              <w:spacing w:before="75" w:beforeAutospacing="0" w:after="75" w:afterAutospacing="0" w:line="23" w:lineRule="atLeast"/>
              <w:ind w:left="-111" w:right="0"/>
              <w:jc w:val="center"/>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总</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总</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bl>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五、存在的主要问题及改进情况</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存在的主要问题。我局在政府信息公开方面取得了一些成绩，但与社会公众的需求还存在一定的差距。一是信息更新不够及时、信息内容不规范、部分信息内容单一;二是少数主动公开的政府信息未能完全满足群众的需求，信息公开工作质量有待提高。</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改进方法和措施。一是加强培训。采取多种形式，组织有关人员参加培训，重点学习《条例》、《规定》等有关政府信息公开方面的法律、法规，充分认识政府信息公开的重要性和紧迫性，不断提高政府信息公开水平。二是拓展信息公开内容。围绕社会各界关注的经济社会发展热点、重点，认真梳理，对适宜公开的内容全部公开，提高卫生健康部门政府信息公开的针对性和时效性。三是严格公开程序。严格按照公开程序和时限要求进行公开，认真做好依申请公开政府信息的各项工作，对依申请公开的，按照规定及时给予答复，保证公开信息的完整性、准确性，确保不发生因流程不规范或处理不当引起的投诉或行政复议、行政诉讼。四是完善保密制度。加强网络安全和保密宣传教育，牢固树立保密意识，建立规范的信息采集、审核和发布制度，实行分级管理，严格把关，杜绝涉密信息上网。</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六、其他需要报告的事项</w:t>
      </w:r>
    </w:p>
    <w:p>
      <w:pPr>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   无</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DF659"/>
    <w:rsid w:val="BFBF9D52"/>
    <w:rsid w:val="E7F9B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2022-09-08T16:17:05Z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