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ind w:left="0" w:right="0" w:firstLine="0"/>
        <w:jc w:val="center"/>
        <w:rPr>
          <w:rFonts w:hint="eastAsia" w:ascii="方正小标宋简体" w:hAnsi="方正小标宋简体" w:eastAsia="方正小标宋简体" w:cs="方正小标宋简体"/>
          <w:i w:val="0"/>
          <w:caps w:val="0"/>
          <w:color w:val="000000"/>
          <w:spacing w:val="0"/>
          <w:sz w:val="44"/>
          <w:szCs w:val="44"/>
        </w:rPr>
      </w:pPr>
      <w:bookmarkStart w:id="0" w:name="_GoBack"/>
      <w:r>
        <w:rPr>
          <w:rFonts w:hint="eastAsia" w:ascii="方正小标宋简体" w:hAnsi="方正小标宋简体" w:eastAsia="方正小标宋简体" w:cs="方正小标宋简体"/>
          <w:i w:val="0"/>
          <w:caps w:val="0"/>
          <w:color w:val="000000"/>
          <w:spacing w:val="0"/>
          <w:kern w:val="0"/>
          <w:sz w:val="44"/>
          <w:szCs w:val="44"/>
          <w:lang w:val="en-US" w:eastAsia="zh-CN" w:bidi="ar"/>
        </w:rPr>
        <w:t>岚皋县水利局2019年政府信息公开工作</w:t>
      </w:r>
    </w:p>
    <w:p>
      <w:pPr>
        <w:keepNext w:val="0"/>
        <w:keepLines w:val="0"/>
        <w:widowControl/>
        <w:suppressLineNumbers w:val="0"/>
        <w:spacing w:before="75" w:beforeAutospacing="0" w:after="75" w:afterAutospacing="0"/>
        <w:ind w:left="0" w:right="0" w:firstLine="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kern w:val="0"/>
          <w:sz w:val="44"/>
          <w:szCs w:val="44"/>
          <w:lang w:val="en-US" w:eastAsia="zh-CN" w:bidi="ar"/>
        </w:rPr>
        <w:t>年度报告</w:t>
      </w:r>
      <w:bookmarkEnd w:id="0"/>
    </w:p>
    <w:p>
      <w:pPr>
        <w:keepNext w:val="0"/>
        <w:keepLines w:val="0"/>
        <w:widowControl/>
        <w:suppressLineNumbers w:val="0"/>
        <w:spacing w:before="75" w:beforeAutospacing="0" w:after="75" w:afterAutospacing="0"/>
        <w:ind w:left="0" w:right="0" w:firstLine="42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 </w:t>
      </w:r>
    </w:p>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根据《中华人民共和国政府信息公开条例》、《国务院办公厅政府信息与政务公开办公室关于政府信息公开工作年度报告有关事项的通知》（国办公开办函〔2019〕60号）、《中华人民共和国政府信息公开工作年度报告格式（试行）》以及《岚皋县人民政府办公室关于做好2019年度全县政府信息公开年度报告有关工作的通知》的要求，特向社会公布2019年度岚皋县水利局政府信息公开工作年度报告。本报告由总体情况，主动公开政府信息情况，收到和处理政府信息公开申请情况，政府信息公开行政复议、行政诉讼情况，存在的主要问题及改进情况，其他需要报告的事项共六个部分组成。本报告中所列数据的统计期限自2019年1月1日起至2019年12月31日。如对本报告有任何疑问，请与岚皋县水利局党政办联系（地址：岚皋县城关镇老北街26号，邮编：725400；电话：0915-2522107。</w:t>
      </w:r>
    </w:p>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一、总体情况</w:t>
      </w:r>
    </w:p>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2019年,我局认真学习新修订的《中华人民共和国政府信息公开条例》，以围绕“统筹城乡、全面小康”战略和“旅游富民、生态强县”目标，贯彻落实县政府关于政府信息公开工作部署要求, 结合水利工作实际，将推行政府信息公开工作与坚持依法行政、加强廉政建设、推进水利建设等方面相结合，加强信息公开领导和队伍建设，健全信息公开工作机制，完善制度，加强人员培训，深化政府信息公开内容，增强政府信息公开实效，坚持以公开为常态，不公开为例外，大力推进决策、执行、管理、服务、结果“五公开”, 提高政府部门工作透明度和公信力。</w:t>
      </w:r>
    </w:p>
    <w:p>
      <w:pPr>
        <w:keepNext w:val="0"/>
        <w:keepLines w:val="0"/>
        <w:widowControl/>
        <w:suppressLineNumbers w:val="0"/>
        <w:shd w:val="clear" w:fill="FFFFFF"/>
        <w:spacing w:before="75" w:beforeAutospacing="0" w:after="75" w:afterAutospacing="0"/>
        <w:ind w:right="0" w:firstLine="640" w:firstLineChars="200"/>
        <w:jc w:val="left"/>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kern w:val="0"/>
          <w:sz w:val="32"/>
          <w:szCs w:val="32"/>
          <w:shd w:val="clear" w:fill="FFFFFF"/>
          <w:lang w:val="en-US" w:eastAsia="zh-CN" w:bidi="ar"/>
        </w:rPr>
        <w:t>（一）主动公开政府信息情况</w:t>
      </w:r>
    </w:p>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2019年我局在岚皋县人民政府网站公开信息78条，其中，发布新闻动态稿件8条，主动公开政务文件43件，承办人大代表建议5件、政协委员提案1件，全部办结，代表均表示满意。办理安康市12345工单21件、网上信访5件，办结率100%。</w:t>
      </w:r>
    </w:p>
    <w:p>
      <w:pPr>
        <w:keepNext w:val="0"/>
        <w:keepLines w:val="0"/>
        <w:widowControl/>
        <w:suppressLineNumbers w:val="0"/>
        <w:shd w:val="clear" w:fill="FFFFFF"/>
        <w:spacing w:before="75" w:beforeAutospacing="0" w:after="75" w:afterAutospacing="0"/>
        <w:ind w:left="0" w:right="0" w:firstLine="420"/>
        <w:jc w:val="left"/>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kern w:val="0"/>
          <w:sz w:val="32"/>
          <w:szCs w:val="32"/>
          <w:shd w:val="clear" w:fill="FFFFFF"/>
          <w:lang w:val="en-US" w:eastAsia="zh-CN" w:bidi="ar"/>
        </w:rPr>
        <w:t>（二）政府信息依申请公开办理情况</w:t>
      </w:r>
    </w:p>
    <w:p>
      <w:pPr>
        <w:keepNext w:val="0"/>
        <w:keepLines w:val="0"/>
        <w:widowControl/>
        <w:suppressLineNumbers w:val="0"/>
        <w:shd w:val="clear" w:fill="FFFFFF"/>
        <w:spacing w:before="75" w:beforeAutospacing="0" w:after="75"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今年来我局收到政府信息公开申请0件。</w:t>
      </w:r>
    </w:p>
    <w:p>
      <w:pPr>
        <w:keepNext w:val="0"/>
        <w:keepLines w:val="0"/>
        <w:widowControl/>
        <w:suppressLineNumbers w:val="0"/>
        <w:shd w:val="clear" w:fill="FFFFFF"/>
        <w:spacing w:before="75" w:beforeAutospacing="0" w:after="75" w:afterAutospacing="0"/>
        <w:ind w:left="0" w:right="0" w:firstLine="420"/>
        <w:jc w:val="left"/>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kern w:val="0"/>
          <w:sz w:val="32"/>
          <w:szCs w:val="32"/>
          <w:shd w:val="clear" w:fill="FFFFFF"/>
          <w:lang w:val="en-US" w:eastAsia="zh-CN" w:bidi="ar"/>
        </w:rPr>
        <w:t>（三）政府信息管理情况</w:t>
      </w:r>
    </w:p>
    <w:p>
      <w:pPr>
        <w:keepNext w:val="0"/>
        <w:keepLines w:val="0"/>
        <w:widowControl/>
        <w:suppressLineNumbers w:val="0"/>
        <w:shd w:val="clear" w:fill="FFFFFF"/>
        <w:spacing w:before="75" w:beforeAutospacing="0" w:after="75"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我局建立健全政府信息公开工作机制，完善《岚皋县水利局信息公开指南》和《岚皋县水利局信息公开目录》，落实专人做好政府信息公开各项工作，严格执行政府信息公开的法律法规，建立健全政府信息公开申请受理答复各环节制度规范，对所公开事项内容进行审核、把关，确保公开内容的合法性、准确性、严肃性。确保公开的范围、形式、时限、程序等符合《中华人民共和国政府信息公开条例》的相关要求。</w:t>
      </w:r>
    </w:p>
    <w:p>
      <w:pPr>
        <w:keepNext w:val="0"/>
        <w:keepLines w:val="0"/>
        <w:widowControl/>
        <w:suppressLineNumbers w:val="0"/>
        <w:shd w:val="clear" w:fill="FFFFFF"/>
        <w:spacing w:before="75" w:beforeAutospacing="0" w:after="75" w:afterAutospacing="0"/>
        <w:ind w:left="0" w:right="0" w:firstLine="420"/>
        <w:jc w:val="left"/>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kern w:val="0"/>
          <w:sz w:val="32"/>
          <w:szCs w:val="32"/>
          <w:shd w:val="clear" w:fill="FFFFFF"/>
          <w:lang w:val="en-US" w:eastAsia="zh-CN" w:bidi="ar"/>
        </w:rPr>
        <w:t>（四）政府信息公开平台建设情况</w:t>
      </w:r>
    </w:p>
    <w:p>
      <w:pPr>
        <w:keepNext w:val="0"/>
        <w:keepLines w:val="0"/>
        <w:widowControl/>
        <w:suppressLineNumbers w:val="0"/>
        <w:shd w:val="clear" w:fill="FFFFFF"/>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我局信息公开平台主要依托岚皋县人民政府网站，所有公开信息在岚皋县人民政府网网站发布，涉及行政审批事项，目前除河道采砂许可尚未划转，其余事项均已划转。</w:t>
      </w:r>
    </w:p>
    <w:p>
      <w:pPr>
        <w:keepNext w:val="0"/>
        <w:keepLines w:val="0"/>
        <w:widowControl/>
        <w:suppressLineNumbers w:val="0"/>
        <w:shd w:val="clear" w:fill="FFFFFF"/>
        <w:spacing w:before="75" w:beforeAutospacing="0" w:after="75"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bCs/>
          <w:i w:val="0"/>
          <w:caps w:val="0"/>
          <w:color w:val="000000"/>
          <w:spacing w:val="0"/>
          <w:kern w:val="0"/>
          <w:sz w:val="32"/>
          <w:szCs w:val="32"/>
          <w:shd w:val="clear" w:fill="FFFFFF"/>
          <w:lang w:val="en-US" w:eastAsia="zh-CN" w:bidi="ar"/>
        </w:rPr>
        <w:t>（五）监督保障机制</w:t>
      </w:r>
    </w:p>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为切实做好政务公开工作，深化主动公开内容，我局逐步健全政府信息公开工作机制，完善《岚皋县水利局信息公开指南》和《岚皋县水利局信息公开目录》，明确一把手负总责，其他班子成员结合分工各负其责。在政务公开日常工作中，以县政府网站为平台，及时发布各项政务信息。明确责任股室，落实专职人员，及时公开政务信息，提高信息公开数量和质量，确保政务公开工作深入推进。</w:t>
      </w:r>
    </w:p>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二、主动公开政府信息情况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388"/>
        <w:gridCol w:w="2001"/>
        <w:gridCol w:w="2169"/>
        <w:gridCol w:w="1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06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9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信息内容</w:t>
            </w:r>
          </w:p>
        </w:tc>
        <w:tc>
          <w:tcPr>
            <w:tcW w:w="24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本年新制作数量</w:t>
            </w:r>
          </w:p>
        </w:tc>
        <w:tc>
          <w:tcPr>
            <w:tcW w:w="259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本年新公开数量</w:t>
            </w:r>
          </w:p>
        </w:tc>
        <w:tc>
          <w:tcPr>
            <w:tcW w:w="21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9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规章</w:t>
            </w:r>
          </w:p>
        </w:tc>
        <w:tc>
          <w:tcPr>
            <w:tcW w:w="24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259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21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9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规范性文件</w:t>
            </w:r>
          </w:p>
        </w:tc>
        <w:tc>
          <w:tcPr>
            <w:tcW w:w="24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259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21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06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9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信息内容</w:t>
            </w:r>
          </w:p>
        </w:tc>
        <w:tc>
          <w:tcPr>
            <w:tcW w:w="24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上一年项目数量</w:t>
            </w:r>
          </w:p>
        </w:tc>
        <w:tc>
          <w:tcPr>
            <w:tcW w:w="259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本年增/减</w:t>
            </w:r>
          </w:p>
        </w:tc>
        <w:tc>
          <w:tcPr>
            <w:tcW w:w="21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9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行政许可</w:t>
            </w:r>
          </w:p>
        </w:tc>
        <w:tc>
          <w:tcPr>
            <w:tcW w:w="24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23</w:t>
            </w:r>
          </w:p>
        </w:tc>
        <w:tc>
          <w:tcPr>
            <w:tcW w:w="259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减22</w:t>
            </w:r>
          </w:p>
        </w:tc>
        <w:tc>
          <w:tcPr>
            <w:tcW w:w="21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9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其他对外管理服务事项</w:t>
            </w:r>
          </w:p>
        </w:tc>
        <w:tc>
          <w:tcPr>
            <w:tcW w:w="24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259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21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06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9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信息内容</w:t>
            </w:r>
          </w:p>
        </w:tc>
        <w:tc>
          <w:tcPr>
            <w:tcW w:w="24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上一年项目数量</w:t>
            </w:r>
          </w:p>
        </w:tc>
        <w:tc>
          <w:tcPr>
            <w:tcW w:w="259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本年增/减</w:t>
            </w:r>
          </w:p>
        </w:tc>
        <w:tc>
          <w:tcPr>
            <w:tcW w:w="21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9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行政处罚</w:t>
            </w:r>
          </w:p>
        </w:tc>
        <w:tc>
          <w:tcPr>
            <w:tcW w:w="24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259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21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9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行政强制</w:t>
            </w:r>
          </w:p>
        </w:tc>
        <w:tc>
          <w:tcPr>
            <w:tcW w:w="24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259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21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06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9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信息内容</w:t>
            </w:r>
          </w:p>
        </w:tc>
        <w:tc>
          <w:tcPr>
            <w:tcW w:w="24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上一年项目数量</w:t>
            </w:r>
          </w:p>
        </w:tc>
        <w:tc>
          <w:tcPr>
            <w:tcW w:w="47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9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行政事业性收费</w:t>
            </w:r>
          </w:p>
        </w:tc>
        <w:tc>
          <w:tcPr>
            <w:tcW w:w="24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4</w:t>
            </w:r>
          </w:p>
        </w:tc>
        <w:tc>
          <w:tcPr>
            <w:tcW w:w="47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减3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06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9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信息内容</w:t>
            </w:r>
          </w:p>
        </w:tc>
        <w:tc>
          <w:tcPr>
            <w:tcW w:w="24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采购项目数量</w:t>
            </w:r>
          </w:p>
        </w:tc>
        <w:tc>
          <w:tcPr>
            <w:tcW w:w="47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9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政府集中采购</w:t>
            </w:r>
          </w:p>
        </w:tc>
        <w:tc>
          <w:tcPr>
            <w:tcW w:w="24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9</w:t>
            </w:r>
          </w:p>
        </w:tc>
        <w:tc>
          <w:tcPr>
            <w:tcW w:w="47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537.435万元</w:t>
            </w:r>
          </w:p>
        </w:tc>
      </w:tr>
    </w:tbl>
    <w:p>
      <w:pPr>
        <w:keepNext w:val="0"/>
        <w:keepLines w:val="0"/>
        <w:widowControl/>
        <w:suppressLineNumbers w:val="0"/>
        <w:spacing w:before="75" w:beforeAutospacing="0" w:after="75" w:afterAutospacing="0"/>
        <w:ind w:left="0" w:right="0" w:firstLine="640"/>
        <w:jc w:val="left"/>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kern w:val="0"/>
          <w:sz w:val="32"/>
          <w:szCs w:val="32"/>
          <w:lang w:val="en-US" w:eastAsia="zh-CN" w:bidi="ar"/>
        </w:rPr>
        <w:t>三、收到和处理政府信息公开申请情况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21"/>
        <w:gridCol w:w="1495"/>
        <w:gridCol w:w="2453"/>
        <w:gridCol w:w="650"/>
        <w:gridCol w:w="524"/>
        <w:gridCol w:w="524"/>
        <w:gridCol w:w="524"/>
        <w:gridCol w:w="524"/>
        <w:gridCol w:w="535"/>
        <w:gridCol w:w="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340" w:type="dxa"/>
            <w:gridSpan w:val="3"/>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（本列数据的勾稽关系为：第一项加第二项之和，等于第三项加第四项之和）</w:t>
            </w:r>
          </w:p>
        </w:tc>
        <w:tc>
          <w:tcPr>
            <w:tcW w:w="4860"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340"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81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111" w:right="0"/>
              <w:jc w:val="center"/>
            </w:pPr>
            <w:r>
              <w:rPr>
                <w:rFonts w:hint="eastAsia" w:ascii="宋体" w:hAnsi="宋体" w:eastAsia="宋体" w:cs="宋体"/>
                <w:color w:val="auto"/>
                <w:kern w:val="0"/>
                <w:sz w:val="20"/>
                <w:szCs w:val="20"/>
                <w:lang w:val="en-US" w:eastAsia="zh-CN" w:bidi="ar"/>
              </w:rPr>
              <w:t>自然人</w:t>
            </w:r>
          </w:p>
        </w:tc>
        <w:tc>
          <w:tcPr>
            <w:tcW w:w="324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法人或其他组织</w:t>
            </w:r>
          </w:p>
        </w:tc>
        <w:tc>
          <w:tcPr>
            <w:tcW w:w="81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340"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107" w:right="0"/>
              <w:jc w:val="center"/>
            </w:pPr>
            <w:r>
              <w:rPr>
                <w:rFonts w:hint="eastAsia" w:ascii="宋体" w:hAnsi="宋体" w:eastAsia="宋体" w:cs="宋体"/>
                <w:color w:val="auto"/>
                <w:kern w:val="0"/>
                <w:sz w:val="20"/>
                <w:szCs w:val="20"/>
                <w:lang w:val="en-US" w:eastAsia="zh-CN" w:bidi="ar"/>
              </w:rPr>
              <w:t>商业</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企业</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107" w:right="0"/>
              <w:jc w:val="center"/>
            </w:pPr>
            <w:r>
              <w:rPr>
                <w:rFonts w:hint="eastAsia" w:ascii="宋体" w:hAnsi="宋体" w:eastAsia="宋体" w:cs="宋体"/>
                <w:color w:val="auto"/>
                <w:kern w:val="0"/>
                <w:sz w:val="20"/>
                <w:szCs w:val="20"/>
                <w:lang w:val="en-US" w:eastAsia="zh-CN" w:bidi="ar"/>
              </w:rPr>
              <w:t>科研</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机构</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107" w:right="0"/>
              <w:jc w:val="center"/>
            </w:pPr>
            <w:r>
              <w:rPr>
                <w:rFonts w:hint="eastAsia" w:ascii="宋体" w:hAnsi="宋体" w:eastAsia="宋体" w:cs="宋体"/>
                <w:color w:val="auto"/>
                <w:kern w:val="0"/>
                <w:sz w:val="20"/>
                <w:szCs w:val="20"/>
                <w:lang w:val="en-US" w:eastAsia="zh-CN" w:bidi="ar"/>
              </w:rPr>
              <w:t>社会</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公益</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组织</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107" w:right="0"/>
              <w:jc w:val="center"/>
            </w:pPr>
            <w:r>
              <w:rPr>
                <w:rFonts w:hint="eastAsia" w:ascii="宋体" w:hAnsi="宋体" w:eastAsia="宋体" w:cs="宋体"/>
                <w:color w:val="auto"/>
                <w:kern w:val="0"/>
                <w:sz w:val="20"/>
                <w:szCs w:val="20"/>
                <w:lang w:val="en-US" w:eastAsia="zh-CN" w:bidi="ar"/>
              </w:rPr>
              <w:t>法律</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服务</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机构</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107" w:right="0"/>
              <w:jc w:val="center"/>
            </w:pPr>
            <w:r>
              <w:rPr>
                <w:rFonts w:hint="eastAsia" w:ascii="宋体" w:hAnsi="宋体" w:eastAsia="宋体" w:cs="宋体"/>
                <w:color w:val="auto"/>
                <w:kern w:val="0"/>
                <w:sz w:val="20"/>
                <w:szCs w:val="20"/>
                <w:lang w:val="en-US" w:eastAsia="zh-CN" w:bidi="ar"/>
              </w:rPr>
              <w:t>其他</w:t>
            </w: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340"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一、本年新收政府信息公开申请数量</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340"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二、上年结转政府信息公开申请数量</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8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三</w:t>
            </w:r>
          </w:p>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w:t>
            </w:r>
          </w:p>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本</w:t>
            </w:r>
          </w:p>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年</w:t>
            </w:r>
          </w:p>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度</w:t>
            </w:r>
          </w:p>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办</w:t>
            </w:r>
          </w:p>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理</w:t>
            </w:r>
          </w:p>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结</w:t>
            </w:r>
          </w:p>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果</w:t>
            </w:r>
          </w:p>
        </w:tc>
        <w:tc>
          <w:tcPr>
            <w:tcW w:w="486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（一）予以公开</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8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486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（二）部分公开（区分处理的，只计这一情形，不计其他情形）</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8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78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78" w:right="0"/>
              <w:jc w:val="left"/>
            </w:pPr>
            <w:r>
              <w:rPr>
                <w:rFonts w:hint="eastAsia" w:ascii="宋体" w:hAnsi="宋体" w:eastAsia="宋体" w:cs="宋体"/>
                <w:color w:val="auto"/>
                <w:kern w:val="0"/>
                <w:sz w:val="20"/>
                <w:szCs w:val="20"/>
                <w:lang w:val="en-US" w:eastAsia="zh-CN" w:bidi="ar"/>
              </w:rPr>
              <w:t>（三）不予公开</w:t>
            </w:r>
          </w:p>
        </w:tc>
        <w:tc>
          <w:tcPr>
            <w:tcW w:w="30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1.属于国家秘密</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8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7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30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2.其他法律行政法规禁止公开</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8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7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30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3.危及“三安全一稳定”</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8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7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30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4.保护第三方合法权益</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8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7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30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5.属于三类内部事务信息</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8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7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30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6.属于四类过程性信息</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8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7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30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7.属于行政执法案卷</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8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7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30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8.属于行政查询事项</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8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78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78" w:right="0"/>
              <w:jc w:val="left"/>
            </w:pPr>
            <w:r>
              <w:rPr>
                <w:rFonts w:hint="eastAsia" w:ascii="宋体" w:hAnsi="宋体" w:eastAsia="宋体" w:cs="宋体"/>
                <w:color w:val="auto"/>
                <w:kern w:val="0"/>
                <w:sz w:val="20"/>
                <w:szCs w:val="20"/>
                <w:lang w:val="en-US" w:eastAsia="zh-CN" w:bidi="ar"/>
              </w:rPr>
              <w:t>（四）无法提供</w:t>
            </w:r>
          </w:p>
        </w:tc>
        <w:tc>
          <w:tcPr>
            <w:tcW w:w="30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1.本机关不掌握相关政府信息</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8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7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30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2.没有现成信息需要另行制作</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8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7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30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3.补正后申请内容仍不明确</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8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78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78" w:right="0"/>
              <w:jc w:val="left"/>
            </w:pPr>
            <w:r>
              <w:rPr>
                <w:rFonts w:hint="eastAsia" w:ascii="宋体" w:hAnsi="宋体" w:eastAsia="宋体" w:cs="宋体"/>
                <w:color w:val="auto"/>
                <w:kern w:val="0"/>
                <w:sz w:val="20"/>
                <w:szCs w:val="20"/>
                <w:lang w:val="en-US" w:eastAsia="zh-CN" w:bidi="ar"/>
              </w:rPr>
              <w:t>（五）不予处理</w:t>
            </w:r>
          </w:p>
        </w:tc>
        <w:tc>
          <w:tcPr>
            <w:tcW w:w="30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1.信访举报投诉类申请</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8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7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30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2.重复申请</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8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7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30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3.要求提供公开出版物</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8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7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30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4.无正当理由大量反复申请</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8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17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30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200" w:right="0" w:hanging="200"/>
              <w:jc w:val="left"/>
            </w:pPr>
            <w:r>
              <w:rPr>
                <w:rFonts w:hint="eastAsia" w:ascii="宋体" w:hAnsi="宋体" w:eastAsia="宋体" w:cs="宋体"/>
                <w:color w:val="auto"/>
                <w:kern w:val="0"/>
                <w:sz w:val="20"/>
                <w:szCs w:val="20"/>
                <w:lang w:val="en-US" w:eastAsia="zh-CN" w:bidi="ar"/>
              </w:rPr>
              <w:t>5.要求行政机关确认或重新出具已获取信息</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8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486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（六）其他处理</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8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486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（七）总计</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340"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auto"/>
                <w:kern w:val="0"/>
                <w:sz w:val="20"/>
                <w:szCs w:val="20"/>
                <w:lang w:val="en-US" w:eastAsia="zh-CN" w:bidi="ar"/>
              </w:rPr>
              <w:t>四、结转下年度继续办理</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bl>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四、政府信息公开行政复议、行政诉讼情况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30"/>
        <w:gridCol w:w="645"/>
        <w:gridCol w:w="645"/>
        <w:gridCol w:w="645"/>
        <w:gridCol w:w="675"/>
        <w:gridCol w:w="660"/>
        <w:gridCol w:w="630"/>
        <w:gridCol w:w="645"/>
        <w:gridCol w:w="645"/>
        <w:gridCol w:w="660"/>
        <w:gridCol w:w="645"/>
        <w:gridCol w:w="645"/>
        <w:gridCol w:w="645"/>
        <w:gridCol w:w="645"/>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24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行政复议</w:t>
            </w:r>
          </w:p>
        </w:tc>
        <w:tc>
          <w:tcPr>
            <w:tcW w:w="6495" w:type="dxa"/>
            <w:gridSpan w:val="10"/>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99" w:right="0"/>
              <w:jc w:val="cente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spacing w:before="75" w:beforeAutospacing="0" w:after="75" w:afterAutospacing="0" w:line="23" w:lineRule="atLeast"/>
              <w:ind w:left="-99" w:right="0"/>
              <w:jc w:val="center"/>
            </w:pPr>
            <w:r>
              <w:rPr>
                <w:rFonts w:hint="eastAsia" w:ascii="宋体" w:hAnsi="宋体" w:eastAsia="宋体" w:cs="宋体"/>
                <w:color w:val="auto"/>
                <w:kern w:val="0"/>
                <w:sz w:val="20"/>
                <w:szCs w:val="20"/>
                <w:lang w:val="en-US" w:eastAsia="zh-CN" w:bidi="ar"/>
              </w:rPr>
              <w:t>维持</w:t>
            </w:r>
          </w:p>
        </w:tc>
        <w:tc>
          <w:tcPr>
            <w:tcW w:w="6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101" w:right="0"/>
              <w:jc w:val="cente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spacing w:before="75" w:beforeAutospacing="0" w:after="75" w:afterAutospacing="0" w:line="23" w:lineRule="atLeast"/>
              <w:ind w:left="-101" w:right="0"/>
              <w:jc w:val="center"/>
            </w:pPr>
            <w:r>
              <w:rPr>
                <w:rFonts w:hint="eastAsia" w:ascii="宋体" w:hAnsi="宋体" w:eastAsia="宋体" w:cs="宋体"/>
                <w:color w:val="auto"/>
                <w:kern w:val="0"/>
                <w:sz w:val="20"/>
                <w:szCs w:val="20"/>
                <w:lang w:val="en-US" w:eastAsia="zh-CN" w:bidi="ar"/>
              </w:rPr>
              <w:t>纠正</w:t>
            </w:r>
          </w:p>
        </w:tc>
        <w:tc>
          <w:tcPr>
            <w:tcW w:w="6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122" w:right="0"/>
              <w:jc w:val="center"/>
            </w:pPr>
            <w:r>
              <w:rPr>
                <w:rFonts w:hint="eastAsia" w:ascii="宋体" w:hAnsi="宋体" w:eastAsia="宋体" w:cs="宋体"/>
                <w:color w:val="auto"/>
                <w:kern w:val="0"/>
                <w:sz w:val="20"/>
                <w:szCs w:val="20"/>
                <w:lang w:val="en-US" w:eastAsia="zh-CN" w:bidi="ar"/>
              </w:rPr>
              <w:t>其他</w:t>
            </w:r>
          </w:p>
          <w:p>
            <w:pPr>
              <w:keepNext w:val="0"/>
              <w:keepLines w:val="0"/>
              <w:widowControl/>
              <w:suppressLineNumbers w:val="0"/>
              <w:spacing w:before="75" w:beforeAutospacing="0" w:after="75" w:afterAutospacing="0" w:line="23" w:lineRule="atLeast"/>
              <w:ind w:left="-122" w:right="0"/>
              <w:jc w:val="center"/>
            </w:pPr>
            <w:r>
              <w:rPr>
                <w:rFonts w:hint="eastAsia" w:ascii="宋体" w:hAnsi="宋体" w:eastAsia="宋体" w:cs="宋体"/>
                <w:color w:val="auto"/>
                <w:kern w:val="0"/>
                <w:sz w:val="20"/>
                <w:szCs w:val="20"/>
                <w:lang w:val="en-US" w:eastAsia="zh-CN" w:bidi="ar"/>
              </w:rPr>
              <w:t>结果</w:t>
            </w:r>
          </w:p>
        </w:tc>
        <w:tc>
          <w:tcPr>
            <w:tcW w:w="6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128" w:right="0"/>
              <w:jc w:val="center"/>
            </w:pPr>
            <w:r>
              <w:rPr>
                <w:rFonts w:hint="eastAsia" w:ascii="宋体" w:hAnsi="宋体" w:eastAsia="宋体" w:cs="宋体"/>
                <w:color w:val="auto"/>
                <w:kern w:val="0"/>
                <w:sz w:val="20"/>
                <w:szCs w:val="20"/>
                <w:lang w:val="en-US" w:eastAsia="zh-CN" w:bidi="ar"/>
              </w:rPr>
              <w:t>尚未</w:t>
            </w:r>
          </w:p>
          <w:p>
            <w:pPr>
              <w:keepNext w:val="0"/>
              <w:keepLines w:val="0"/>
              <w:widowControl/>
              <w:suppressLineNumbers w:val="0"/>
              <w:spacing w:before="75" w:beforeAutospacing="0" w:after="75" w:afterAutospacing="0" w:line="23" w:lineRule="atLeast"/>
              <w:ind w:left="-128" w:right="0"/>
              <w:jc w:val="center"/>
            </w:pPr>
            <w:r>
              <w:rPr>
                <w:rFonts w:hint="eastAsia" w:ascii="宋体" w:hAnsi="宋体" w:eastAsia="宋体" w:cs="宋体"/>
                <w:color w:val="auto"/>
                <w:kern w:val="0"/>
                <w:sz w:val="20"/>
                <w:szCs w:val="20"/>
                <w:lang w:val="en-US" w:eastAsia="zh-CN" w:bidi="ar"/>
              </w:rPr>
              <w:t>审结</w:t>
            </w:r>
          </w:p>
        </w:tc>
        <w:tc>
          <w:tcPr>
            <w:tcW w:w="6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111" w:right="0"/>
              <w:jc w:val="center"/>
            </w:pPr>
            <w:r>
              <w:rPr>
                <w:rFonts w:hint="eastAsia" w:ascii="宋体" w:hAnsi="宋体" w:eastAsia="宋体" w:cs="宋体"/>
                <w:color w:val="auto"/>
                <w:kern w:val="0"/>
                <w:sz w:val="20"/>
                <w:szCs w:val="20"/>
                <w:lang w:val="en-US" w:eastAsia="zh-CN" w:bidi="ar"/>
              </w:rPr>
              <w:t>总</w:t>
            </w:r>
          </w:p>
          <w:p>
            <w:pPr>
              <w:keepNext w:val="0"/>
              <w:keepLines w:val="0"/>
              <w:widowControl/>
              <w:suppressLineNumbers w:val="0"/>
              <w:spacing w:before="75" w:beforeAutospacing="0" w:after="75" w:afterAutospacing="0" w:line="23" w:lineRule="atLeast"/>
              <w:ind w:left="-111" w:right="0"/>
              <w:jc w:val="center"/>
            </w:pPr>
            <w:r>
              <w:rPr>
                <w:rFonts w:hint="eastAsia" w:ascii="宋体" w:hAnsi="宋体" w:eastAsia="宋体" w:cs="宋体"/>
                <w:color w:val="auto"/>
                <w:kern w:val="0"/>
                <w:sz w:val="20"/>
                <w:szCs w:val="20"/>
                <w:lang w:val="en-US" w:eastAsia="zh-CN" w:bidi="ar"/>
              </w:rPr>
              <w:t>计</w:t>
            </w:r>
          </w:p>
        </w:tc>
        <w:tc>
          <w:tcPr>
            <w:tcW w:w="324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未经复议直接起诉</w:t>
            </w:r>
          </w:p>
        </w:tc>
        <w:tc>
          <w:tcPr>
            <w:tcW w:w="324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helvetica" w:hAnsi="helvetica" w:eastAsia="helvetica" w:cs="helvetica"/>
                <w:sz w:val="21"/>
                <w:szCs w:val="21"/>
              </w:rPr>
            </w:pP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维持</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纠正</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其他</w:t>
            </w:r>
          </w:p>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结果</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尚未</w:t>
            </w:r>
          </w:p>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审结</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总</w:t>
            </w:r>
          </w:p>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计</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维持</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纠正</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其他</w:t>
            </w:r>
          </w:p>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结果</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尚未</w:t>
            </w:r>
          </w:p>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审结</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总</w:t>
            </w:r>
          </w:p>
          <w:p>
            <w:pPr>
              <w:keepNext w:val="0"/>
              <w:keepLines w:val="0"/>
              <w:widowControl/>
              <w:suppressLineNumbers w:val="0"/>
              <w:spacing w:before="75" w:beforeAutospacing="0" w:after="75" w:afterAutospacing="0" w:line="23" w:lineRule="atLeast"/>
              <w:ind w:left="-86" w:right="0"/>
              <w:jc w:val="center"/>
            </w:pPr>
            <w:r>
              <w:rPr>
                <w:rFonts w:hint="eastAsia" w:ascii="宋体" w:hAnsi="宋体" w:eastAsia="宋体" w:cs="宋体"/>
                <w:color w:val="auto"/>
                <w:kern w:val="0"/>
                <w:sz w:val="20"/>
                <w:szCs w:val="20"/>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auto"/>
                <w:kern w:val="0"/>
                <w:sz w:val="20"/>
                <w:szCs w:val="20"/>
                <w:lang w:val="en-US" w:eastAsia="zh-CN" w:bidi="ar"/>
              </w:rPr>
              <w:t>0</w:t>
            </w:r>
          </w:p>
        </w:tc>
      </w:tr>
    </w:tbl>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五、存在的主要问题及改进情况</w:t>
      </w:r>
    </w:p>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2019年，我局扎实开展政府信息公开工作，但也存在一些不足：一是信息公开制度有待进一步完善；二是主动公开信息内容有待进一步充实。在接下来的工作中，我们将进一步完善政府信息公开制度，加强对新修订《条例》内容的学习，进一步梳理我局信息公开内容，扩宽公开渠道，从而丰富信息公开内容。</w:t>
      </w:r>
    </w:p>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六、其他需要报告的事项</w:t>
      </w:r>
    </w:p>
    <w:p>
      <w:pPr>
        <w:keepNext w:val="0"/>
        <w:keepLines w:val="0"/>
        <w:widowControl/>
        <w:suppressLineNumbers w:val="0"/>
        <w:spacing w:before="75" w:beforeAutospacing="0" w:after="75" w:afterAutospacing="0"/>
        <w:ind w:left="0" w:righ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无。</w:t>
      </w:r>
    </w:p>
    <w:p>
      <w:pPr>
        <w:keepNext w:val="0"/>
        <w:keepLines w:val="0"/>
        <w:widowControl/>
        <w:suppressLineNumbers w:val="0"/>
        <w:spacing w:before="75" w:beforeAutospacing="0" w:after="75" w:afterAutospacing="0"/>
        <w:ind w:left="0" w:right="0" w:firstLine="64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 </w:t>
      </w:r>
    </w:p>
    <w:p>
      <w:pPr>
        <w:keepNext w:val="0"/>
        <w:keepLines w:val="0"/>
        <w:widowControl/>
        <w:suppressLineNumbers w:val="0"/>
        <w:spacing w:before="75" w:beforeAutospacing="0" w:after="75" w:afterAutospacing="0"/>
        <w:ind w:left="0" w:right="0" w:firstLine="64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 </w:t>
      </w:r>
    </w:p>
    <w:p>
      <w:pPr>
        <w:keepNext w:val="0"/>
        <w:keepLines w:val="0"/>
        <w:widowControl/>
        <w:suppressLineNumbers w:val="0"/>
        <w:spacing w:before="75" w:beforeAutospacing="0" w:after="75" w:afterAutospacing="0"/>
        <w:ind w:left="0" w:right="0" w:firstLine="64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                           </w:t>
      </w: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Liberation Sans">
    <w:altName w:val="华文中宋"/>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helvetica">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FAC5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List"/>
    <w:basedOn w:val="3"/>
    <w:uiPriority w:val="0"/>
  </w:style>
  <w:style w:type="character" w:customStyle="1" w:styleId="7">
    <w:name w:val="默认段落字体1"/>
    <w:uiPriority w:val="0"/>
  </w:style>
  <w:style w:type="paragraph" w:customStyle="1" w:styleId="8">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9">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Office_11.8.2.10552_F1E327BC-269C-435d-A152-05C5408002CA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ankang</dc:creator>
  <cp:lastModifiedBy>ankang</cp:lastModifiedBy>
  <dcterms:modified xsi:type="dcterms:W3CDTF">2022-09-08T17:06:44Z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