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right="0"/>
        <w:jc w:val="center"/>
        <w:textAlignment w:val="auto"/>
        <w:outlineLvl w:val="9"/>
        <w:rPr>
          <w:rFonts w:hint="eastAsia" w:ascii="宋体" w:hAnsi="宋体" w:eastAsia="宋体" w:cs="宋体"/>
          <w:b/>
          <w:bCs/>
          <w:color w:val="auto"/>
          <w:w w:val="90"/>
          <w:sz w:val="28"/>
          <w:szCs w:val="28"/>
        </w:rPr>
      </w:pPr>
      <w:r>
        <w:rPr>
          <w:rFonts w:hint="eastAsia" w:ascii="宋体" w:hAnsi="宋体" w:eastAsia="宋体" w:cs="宋体"/>
          <w:b/>
          <w:bCs/>
          <w:color w:val="auto"/>
          <w:w w:val="100"/>
          <w:sz w:val="28"/>
          <w:szCs w:val="28"/>
          <w:lang w:eastAsia="zh-CN"/>
        </w:rPr>
        <w:t>岚皋县</w:t>
      </w:r>
      <w:r>
        <w:rPr>
          <w:rFonts w:hint="eastAsia" w:ascii="宋体" w:hAnsi="宋体" w:eastAsia="宋体" w:cs="宋体"/>
          <w:b/>
          <w:bCs/>
          <w:color w:val="auto"/>
          <w:w w:val="100"/>
          <w:sz w:val="28"/>
          <w:szCs w:val="28"/>
        </w:rPr>
        <w:t>统计局20</w:t>
      </w:r>
      <w:r>
        <w:rPr>
          <w:rFonts w:hint="eastAsia" w:ascii="宋体" w:hAnsi="宋体" w:eastAsia="宋体" w:cs="宋体"/>
          <w:b/>
          <w:bCs/>
          <w:color w:val="auto"/>
          <w:w w:val="100"/>
          <w:sz w:val="28"/>
          <w:szCs w:val="28"/>
          <w:lang w:val="en-US" w:eastAsia="zh-CN"/>
        </w:rPr>
        <w:t>22</w:t>
      </w:r>
      <w:r>
        <w:rPr>
          <w:rFonts w:hint="eastAsia" w:ascii="宋体" w:hAnsi="宋体" w:eastAsia="宋体" w:cs="宋体"/>
          <w:b/>
          <w:bCs/>
          <w:color w:val="auto"/>
          <w:w w:val="100"/>
          <w:sz w:val="28"/>
          <w:szCs w:val="28"/>
        </w:rPr>
        <w:t>年</w:t>
      </w:r>
      <w:r>
        <w:rPr>
          <w:rFonts w:hint="eastAsia" w:ascii="宋体" w:hAnsi="宋体" w:eastAsia="宋体" w:cs="宋体"/>
          <w:b/>
          <w:bCs/>
          <w:color w:val="auto"/>
          <w:w w:val="100"/>
          <w:sz w:val="28"/>
          <w:szCs w:val="28"/>
          <w:lang w:val="en-US" w:eastAsia="zh-CN"/>
        </w:rPr>
        <w:t>度</w:t>
      </w:r>
      <w:r>
        <w:rPr>
          <w:rFonts w:hint="eastAsia" w:ascii="宋体" w:hAnsi="宋体" w:eastAsia="宋体" w:cs="宋体"/>
          <w:b/>
          <w:bCs/>
          <w:color w:val="auto"/>
          <w:w w:val="100"/>
          <w:sz w:val="28"/>
          <w:szCs w:val="28"/>
        </w:rPr>
        <w:t>政府信息公开</w:t>
      </w:r>
      <w:r>
        <w:rPr>
          <w:rFonts w:hint="eastAsia" w:ascii="宋体" w:hAnsi="宋体" w:eastAsia="宋体" w:cs="宋体"/>
          <w:b/>
          <w:bCs/>
          <w:color w:val="auto"/>
          <w:w w:val="100"/>
          <w:sz w:val="28"/>
          <w:szCs w:val="28"/>
          <w:lang w:eastAsia="zh-CN"/>
        </w:rPr>
        <w:t>工作</w:t>
      </w:r>
      <w:r>
        <w:rPr>
          <w:rFonts w:hint="eastAsia" w:ascii="宋体" w:hAnsi="宋体" w:eastAsia="宋体" w:cs="宋体"/>
          <w:b/>
          <w:bCs/>
          <w:color w:val="auto"/>
          <w:w w:val="100"/>
          <w:sz w:val="28"/>
          <w:szCs w:val="28"/>
        </w:rPr>
        <w:t>年度报告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color w:val="auto"/>
          <w:spacing w:val="0"/>
          <w:w w:val="100"/>
          <w:sz w:val="28"/>
          <w:szCs w:val="28"/>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2022年是党的二十大胜利召开之年，也是第二个百年开局之年，</w:t>
      </w:r>
      <w:r>
        <w:rPr>
          <w:rFonts w:hint="eastAsia" w:ascii="宋体" w:hAnsi="宋体" w:eastAsia="宋体" w:cs="宋体"/>
          <w:color w:val="auto"/>
          <w:spacing w:val="0"/>
          <w:w w:val="100"/>
          <w:sz w:val="28"/>
          <w:szCs w:val="28"/>
          <w:lang w:eastAsia="zh-CN"/>
        </w:rPr>
        <w:t>在县委、县政府</w:t>
      </w:r>
      <w:r>
        <w:rPr>
          <w:rFonts w:hint="eastAsia" w:ascii="宋体" w:hAnsi="宋体" w:eastAsia="宋体" w:cs="宋体"/>
          <w:color w:val="auto"/>
          <w:spacing w:val="0"/>
          <w:w w:val="100"/>
          <w:sz w:val="28"/>
          <w:szCs w:val="28"/>
          <w:lang w:val="en-US" w:eastAsia="zh-CN"/>
        </w:rPr>
        <w:t>的坚强领导</w:t>
      </w:r>
      <w:r>
        <w:rPr>
          <w:rFonts w:hint="eastAsia" w:ascii="宋体" w:hAnsi="宋体" w:eastAsia="宋体" w:cs="宋体"/>
          <w:color w:val="auto"/>
          <w:spacing w:val="0"/>
          <w:w w:val="100"/>
          <w:sz w:val="28"/>
          <w:szCs w:val="28"/>
          <w:lang w:eastAsia="zh-CN"/>
        </w:rPr>
        <w:t>下，</w:t>
      </w:r>
      <w:r>
        <w:rPr>
          <w:rFonts w:hint="eastAsia" w:ascii="宋体" w:hAnsi="宋体" w:eastAsia="宋体" w:cs="宋体"/>
          <w:color w:val="auto"/>
          <w:spacing w:val="0"/>
          <w:w w:val="100"/>
          <w:sz w:val="28"/>
          <w:szCs w:val="28"/>
          <w:lang w:val="en-US" w:eastAsia="zh-CN"/>
        </w:rPr>
        <w:t>岚皋县统计局</w:t>
      </w:r>
      <w:r>
        <w:rPr>
          <w:rFonts w:hint="eastAsia" w:ascii="宋体" w:hAnsi="宋体" w:eastAsia="宋体" w:cs="宋体"/>
          <w:color w:val="auto"/>
          <w:spacing w:val="0"/>
          <w:w w:val="100"/>
          <w:sz w:val="28"/>
          <w:szCs w:val="28"/>
        </w:rPr>
        <w:t>认真学习贯彻统计</w:t>
      </w:r>
      <w:r>
        <w:rPr>
          <w:rFonts w:hint="eastAsia" w:ascii="宋体" w:hAnsi="宋体" w:eastAsia="宋体" w:cs="宋体"/>
          <w:color w:val="auto"/>
          <w:spacing w:val="0"/>
          <w:w w:val="100"/>
          <w:sz w:val="28"/>
          <w:szCs w:val="28"/>
          <w:lang w:val="en-US" w:eastAsia="zh-CN"/>
        </w:rPr>
        <w:t>法律</w:t>
      </w:r>
      <w:r>
        <w:rPr>
          <w:rFonts w:hint="eastAsia" w:ascii="宋体" w:hAnsi="宋体" w:eastAsia="宋体" w:cs="宋体"/>
          <w:color w:val="auto"/>
          <w:spacing w:val="0"/>
          <w:w w:val="100"/>
          <w:sz w:val="28"/>
          <w:szCs w:val="28"/>
        </w:rPr>
        <w:t>法规和习近平总书记关于统计工作</w:t>
      </w:r>
      <w:r>
        <w:rPr>
          <w:rFonts w:hint="eastAsia" w:ascii="宋体" w:hAnsi="宋体" w:eastAsia="宋体" w:cs="宋体"/>
          <w:color w:val="auto"/>
          <w:spacing w:val="0"/>
          <w:w w:val="100"/>
          <w:sz w:val="28"/>
          <w:szCs w:val="28"/>
          <w:lang w:val="en-US" w:eastAsia="zh-CN"/>
        </w:rPr>
        <w:t>的</w:t>
      </w:r>
      <w:r>
        <w:rPr>
          <w:rFonts w:hint="eastAsia" w:ascii="宋体" w:hAnsi="宋体" w:eastAsia="宋体" w:cs="宋体"/>
          <w:color w:val="auto"/>
          <w:spacing w:val="0"/>
          <w:w w:val="100"/>
          <w:sz w:val="28"/>
          <w:szCs w:val="28"/>
        </w:rPr>
        <w:t>重要批示指示精神，充分发挥统计</w:t>
      </w:r>
      <w:r>
        <w:rPr>
          <w:rFonts w:hint="eastAsia" w:ascii="宋体" w:hAnsi="宋体" w:eastAsia="宋体" w:cs="宋体"/>
          <w:color w:val="auto"/>
          <w:spacing w:val="0"/>
          <w:w w:val="100"/>
          <w:sz w:val="28"/>
          <w:szCs w:val="28"/>
          <w:lang w:val="en-US" w:eastAsia="zh-CN"/>
        </w:rPr>
        <w:t>信息、咨询、监督</w:t>
      </w:r>
      <w:r>
        <w:rPr>
          <w:rFonts w:hint="eastAsia" w:ascii="宋体" w:hAnsi="宋体" w:eastAsia="宋体" w:cs="宋体"/>
          <w:color w:val="auto"/>
          <w:spacing w:val="0"/>
          <w:w w:val="100"/>
          <w:sz w:val="28"/>
          <w:szCs w:val="28"/>
        </w:rPr>
        <w:t>职能，</w:t>
      </w:r>
      <w:r>
        <w:rPr>
          <w:rFonts w:hint="eastAsia" w:ascii="宋体" w:hAnsi="宋体" w:eastAsia="宋体" w:cs="宋体"/>
          <w:color w:val="auto"/>
          <w:spacing w:val="0"/>
          <w:w w:val="100"/>
          <w:sz w:val="28"/>
          <w:szCs w:val="28"/>
          <w:lang w:val="en-US" w:eastAsia="zh-CN"/>
        </w:rPr>
        <w:t>着力</w:t>
      </w:r>
      <w:r>
        <w:rPr>
          <w:rFonts w:hint="eastAsia" w:ascii="宋体" w:hAnsi="宋体" w:eastAsia="宋体" w:cs="宋体"/>
          <w:color w:val="auto"/>
          <w:spacing w:val="0"/>
          <w:w w:val="100"/>
          <w:sz w:val="28"/>
          <w:szCs w:val="28"/>
        </w:rPr>
        <w:t>提升统计服务水平，</w:t>
      </w:r>
      <w:r>
        <w:rPr>
          <w:rFonts w:hint="eastAsia" w:ascii="宋体" w:hAnsi="宋体" w:eastAsia="宋体" w:cs="宋体"/>
          <w:color w:val="auto"/>
          <w:spacing w:val="0"/>
          <w:w w:val="100"/>
          <w:sz w:val="28"/>
          <w:szCs w:val="28"/>
          <w:lang w:val="en-US" w:eastAsia="zh-CN"/>
        </w:rPr>
        <w:t>奋力助推县域经济</w:t>
      </w:r>
      <w:r>
        <w:rPr>
          <w:rFonts w:hint="eastAsia" w:ascii="宋体" w:hAnsi="宋体" w:eastAsia="宋体" w:cs="宋体"/>
          <w:color w:val="auto"/>
          <w:spacing w:val="0"/>
          <w:w w:val="100"/>
          <w:sz w:val="28"/>
          <w:szCs w:val="28"/>
        </w:rPr>
        <w:t>高质量发展</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lang w:val="en-US" w:eastAsia="zh-CN"/>
        </w:rPr>
        <w:t>并严格执行《</w:t>
      </w:r>
      <w:r>
        <w:rPr>
          <w:rFonts w:hint="eastAsia" w:ascii="宋体" w:hAnsi="宋体" w:eastAsia="宋体" w:cs="宋体"/>
          <w:color w:val="auto"/>
          <w:spacing w:val="0"/>
          <w:w w:val="100"/>
          <w:sz w:val="28"/>
          <w:szCs w:val="28"/>
          <w:lang w:eastAsia="zh-CN"/>
        </w:rPr>
        <w:t>中华人民共和国政府信息公开条例</w:t>
      </w:r>
      <w:r>
        <w:rPr>
          <w:rFonts w:hint="eastAsia" w:ascii="宋体" w:hAnsi="宋体" w:eastAsia="宋体" w:cs="宋体"/>
          <w:color w:val="auto"/>
          <w:spacing w:val="0"/>
          <w:w w:val="100"/>
          <w:sz w:val="28"/>
          <w:szCs w:val="28"/>
          <w:lang w:val="en-US" w:eastAsia="zh-CN"/>
        </w:rPr>
        <w:t>》，</w:t>
      </w:r>
      <w:r>
        <w:rPr>
          <w:rFonts w:hint="eastAsia" w:ascii="宋体" w:hAnsi="宋体" w:eastAsia="宋体" w:cs="宋体"/>
          <w:color w:val="auto"/>
          <w:spacing w:val="0"/>
          <w:w w:val="100"/>
          <w:sz w:val="28"/>
          <w:szCs w:val="28"/>
          <w:lang w:eastAsia="zh-CN"/>
        </w:rPr>
        <w:t>不断提升</w:t>
      </w:r>
      <w:r>
        <w:rPr>
          <w:rFonts w:hint="eastAsia" w:ascii="宋体" w:hAnsi="宋体" w:eastAsia="宋体" w:cs="宋体"/>
          <w:color w:val="auto"/>
          <w:spacing w:val="0"/>
          <w:w w:val="100"/>
          <w:sz w:val="28"/>
          <w:szCs w:val="28"/>
          <w:lang w:val="en-US" w:eastAsia="zh-CN"/>
        </w:rPr>
        <w:t>政府信息</w:t>
      </w:r>
      <w:r>
        <w:rPr>
          <w:rFonts w:hint="eastAsia" w:ascii="宋体" w:hAnsi="宋体" w:eastAsia="宋体" w:cs="宋体"/>
          <w:color w:val="auto"/>
          <w:spacing w:val="0"/>
          <w:w w:val="100"/>
          <w:sz w:val="28"/>
          <w:szCs w:val="28"/>
          <w:lang w:eastAsia="zh-CN"/>
        </w:rPr>
        <w:t>公开标准化、规范化水平，</w:t>
      </w:r>
      <w:r>
        <w:rPr>
          <w:rFonts w:hint="eastAsia" w:ascii="宋体" w:hAnsi="宋体" w:eastAsia="宋体" w:cs="宋体"/>
          <w:color w:val="auto"/>
          <w:spacing w:val="0"/>
          <w:w w:val="100"/>
          <w:sz w:val="28"/>
          <w:szCs w:val="28"/>
          <w:lang w:val="en-US" w:eastAsia="zh-CN"/>
        </w:rPr>
        <w:t>以</w:t>
      </w:r>
      <w:r>
        <w:rPr>
          <w:rFonts w:hint="eastAsia" w:ascii="宋体" w:hAnsi="宋体" w:eastAsia="宋体" w:cs="宋体"/>
          <w:color w:val="auto"/>
          <w:spacing w:val="0"/>
          <w:w w:val="100"/>
          <w:sz w:val="28"/>
          <w:szCs w:val="28"/>
          <w:lang w:eastAsia="zh-CN"/>
        </w:rPr>
        <w:t>政府信息公开推进</w:t>
      </w:r>
      <w:r>
        <w:rPr>
          <w:rFonts w:hint="eastAsia" w:ascii="宋体" w:hAnsi="宋体" w:eastAsia="宋体" w:cs="宋体"/>
          <w:color w:val="auto"/>
          <w:spacing w:val="0"/>
          <w:w w:val="100"/>
          <w:sz w:val="28"/>
          <w:szCs w:val="28"/>
          <w:lang w:val="en-US" w:eastAsia="zh-CN"/>
        </w:rPr>
        <w:t>部门</w:t>
      </w:r>
      <w:r>
        <w:rPr>
          <w:rFonts w:hint="eastAsia" w:ascii="宋体" w:hAnsi="宋体" w:eastAsia="宋体" w:cs="宋体"/>
          <w:color w:val="auto"/>
          <w:spacing w:val="0"/>
          <w:w w:val="100"/>
          <w:sz w:val="28"/>
          <w:szCs w:val="28"/>
          <w:lang w:eastAsia="zh-CN"/>
        </w:rPr>
        <w:t>行政权力</w:t>
      </w:r>
      <w:r>
        <w:rPr>
          <w:rFonts w:hint="eastAsia" w:ascii="宋体" w:hAnsi="宋体" w:eastAsia="宋体" w:cs="宋体"/>
          <w:color w:val="auto"/>
          <w:spacing w:val="0"/>
          <w:w w:val="100"/>
          <w:sz w:val="28"/>
          <w:szCs w:val="28"/>
          <w:lang w:val="en-US" w:eastAsia="zh-CN"/>
        </w:rPr>
        <w:t>运行</w:t>
      </w:r>
      <w:r>
        <w:rPr>
          <w:rFonts w:hint="eastAsia" w:ascii="宋体" w:hAnsi="宋体" w:eastAsia="宋体" w:cs="宋体"/>
          <w:color w:val="auto"/>
          <w:spacing w:val="0"/>
          <w:w w:val="100"/>
          <w:sz w:val="28"/>
          <w:szCs w:val="28"/>
          <w:lang w:eastAsia="zh-CN"/>
        </w:rPr>
        <w:t>公开透明。</w:t>
      </w:r>
      <w:r>
        <w:rPr>
          <w:rFonts w:hint="eastAsia" w:ascii="宋体" w:hAnsi="宋体" w:eastAsia="宋体" w:cs="宋体"/>
          <w:color w:val="auto"/>
          <w:spacing w:val="0"/>
          <w:w w:val="100"/>
          <w:sz w:val="28"/>
          <w:szCs w:val="28"/>
          <w:lang w:val="en-US" w:eastAsia="zh-CN"/>
        </w:rPr>
        <w:t>根据县人民政府办公室统一安排，现</w:t>
      </w:r>
      <w:r>
        <w:rPr>
          <w:rFonts w:hint="eastAsia" w:ascii="宋体" w:hAnsi="宋体" w:eastAsia="宋体" w:cs="宋体"/>
          <w:color w:val="auto"/>
          <w:spacing w:val="0"/>
          <w:w w:val="100"/>
          <w:sz w:val="28"/>
          <w:szCs w:val="28"/>
        </w:rPr>
        <w:t>特向社会公</w:t>
      </w:r>
      <w:r>
        <w:rPr>
          <w:rFonts w:hint="eastAsia" w:ascii="宋体" w:hAnsi="宋体" w:eastAsia="宋体" w:cs="宋体"/>
          <w:color w:val="auto"/>
          <w:spacing w:val="0"/>
          <w:w w:val="100"/>
          <w:sz w:val="28"/>
          <w:szCs w:val="28"/>
          <w:lang w:val="en-US" w:eastAsia="zh-CN"/>
        </w:rPr>
        <w:t>开</w:t>
      </w:r>
      <w:r>
        <w:rPr>
          <w:rFonts w:hint="eastAsia" w:ascii="宋体" w:hAnsi="宋体" w:eastAsia="宋体" w:cs="宋体"/>
          <w:color w:val="auto"/>
          <w:spacing w:val="0"/>
          <w:w w:val="100"/>
          <w:sz w:val="28"/>
          <w:szCs w:val="28"/>
          <w:lang w:eastAsia="zh-CN"/>
        </w:rPr>
        <w:t>岚皋县统计局</w:t>
      </w:r>
      <w:r>
        <w:rPr>
          <w:rFonts w:hint="eastAsia" w:ascii="宋体" w:hAnsi="宋体" w:eastAsia="宋体" w:cs="宋体"/>
          <w:color w:val="auto"/>
          <w:spacing w:val="0"/>
          <w:w w:val="100"/>
          <w:sz w:val="28"/>
          <w:szCs w:val="28"/>
        </w:rPr>
        <w:t>20</w:t>
      </w:r>
      <w:r>
        <w:rPr>
          <w:rFonts w:hint="eastAsia" w:ascii="宋体" w:hAnsi="宋体" w:eastAsia="宋体" w:cs="宋体"/>
          <w:color w:val="auto"/>
          <w:spacing w:val="0"/>
          <w:w w:val="100"/>
          <w:sz w:val="28"/>
          <w:szCs w:val="28"/>
          <w:lang w:val="en-US" w:eastAsia="zh-CN"/>
        </w:rPr>
        <w:t>22</w:t>
      </w:r>
      <w:r>
        <w:rPr>
          <w:rFonts w:hint="eastAsia" w:ascii="宋体" w:hAnsi="宋体" w:eastAsia="宋体" w:cs="宋体"/>
          <w:color w:val="auto"/>
          <w:spacing w:val="0"/>
          <w:w w:val="100"/>
          <w:sz w:val="28"/>
          <w:szCs w:val="28"/>
        </w:rPr>
        <w:t>年</w:t>
      </w:r>
      <w:r>
        <w:rPr>
          <w:rFonts w:hint="eastAsia" w:ascii="宋体" w:hAnsi="宋体" w:eastAsia="宋体" w:cs="宋体"/>
          <w:color w:val="auto"/>
          <w:spacing w:val="0"/>
          <w:w w:val="100"/>
          <w:sz w:val="28"/>
          <w:szCs w:val="28"/>
          <w:lang w:eastAsia="zh-CN"/>
        </w:rPr>
        <w:t>度政府</w:t>
      </w:r>
      <w:r>
        <w:rPr>
          <w:rFonts w:hint="eastAsia" w:ascii="宋体" w:hAnsi="宋体" w:eastAsia="宋体" w:cs="宋体"/>
          <w:color w:val="auto"/>
          <w:spacing w:val="0"/>
          <w:w w:val="100"/>
          <w:sz w:val="28"/>
          <w:szCs w:val="28"/>
        </w:rPr>
        <w:t>信息公开</w:t>
      </w:r>
      <w:r>
        <w:rPr>
          <w:rFonts w:hint="eastAsia" w:ascii="宋体" w:hAnsi="宋体" w:eastAsia="宋体" w:cs="宋体"/>
          <w:color w:val="auto"/>
          <w:spacing w:val="0"/>
          <w:w w:val="100"/>
          <w:sz w:val="28"/>
          <w:szCs w:val="28"/>
          <w:lang w:eastAsia="zh-CN"/>
        </w:rPr>
        <w:t>工作</w:t>
      </w:r>
      <w:r>
        <w:rPr>
          <w:rFonts w:hint="eastAsia" w:ascii="宋体" w:hAnsi="宋体" w:eastAsia="宋体" w:cs="宋体"/>
          <w:color w:val="auto"/>
          <w:spacing w:val="0"/>
          <w:w w:val="100"/>
          <w:sz w:val="28"/>
          <w:szCs w:val="28"/>
        </w:rPr>
        <w:t>年度报告。本报告中所列数据的统计期限自20</w:t>
      </w:r>
      <w:r>
        <w:rPr>
          <w:rFonts w:hint="eastAsia" w:ascii="宋体" w:hAnsi="宋体" w:eastAsia="宋体" w:cs="宋体"/>
          <w:color w:val="auto"/>
          <w:spacing w:val="0"/>
          <w:w w:val="100"/>
          <w:sz w:val="28"/>
          <w:szCs w:val="28"/>
          <w:lang w:val="en-US" w:eastAsia="zh-CN"/>
        </w:rPr>
        <w:t>22</w:t>
      </w:r>
      <w:r>
        <w:rPr>
          <w:rFonts w:hint="eastAsia" w:ascii="宋体" w:hAnsi="宋体" w:eastAsia="宋体" w:cs="宋体"/>
          <w:color w:val="auto"/>
          <w:spacing w:val="0"/>
          <w:w w:val="100"/>
          <w:sz w:val="28"/>
          <w:szCs w:val="28"/>
        </w:rPr>
        <w:t>年1月1日起至20</w:t>
      </w:r>
      <w:r>
        <w:rPr>
          <w:rFonts w:hint="eastAsia" w:ascii="宋体" w:hAnsi="宋体" w:eastAsia="宋体" w:cs="宋体"/>
          <w:color w:val="auto"/>
          <w:spacing w:val="0"/>
          <w:w w:val="100"/>
          <w:sz w:val="28"/>
          <w:szCs w:val="28"/>
          <w:lang w:val="en-US" w:eastAsia="zh-CN"/>
        </w:rPr>
        <w:t>22</w:t>
      </w:r>
      <w:r>
        <w:rPr>
          <w:rFonts w:hint="eastAsia" w:ascii="宋体" w:hAnsi="宋体" w:eastAsia="宋体" w:cs="宋体"/>
          <w:color w:val="auto"/>
          <w:spacing w:val="0"/>
          <w:w w:val="100"/>
          <w:sz w:val="28"/>
          <w:szCs w:val="28"/>
        </w:rPr>
        <w:t>年12月31日止。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2" w:firstLineChars="200"/>
        <w:jc w:val="both"/>
        <w:textAlignment w:val="auto"/>
        <w:outlineLvl w:val="9"/>
        <w:rPr>
          <w:rFonts w:hint="eastAsia" w:ascii="黑体" w:hAnsi="黑体" w:eastAsia="黑体" w:cs="黑体"/>
          <w:b/>
          <w:bCs/>
          <w:color w:val="auto"/>
          <w:spacing w:val="0"/>
          <w:w w:val="100"/>
          <w:sz w:val="28"/>
          <w:szCs w:val="28"/>
        </w:rPr>
      </w:pPr>
      <w:r>
        <w:rPr>
          <w:rFonts w:hint="eastAsia" w:ascii="黑体" w:hAnsi="黑体" w:eastAsia="黑体" w:cs="黑体"/>
          <w:b/>
          <w:bCs/>
          <w:color w:val="auto"/>
          <w:spacing w:val="0"/>
          <w:w w:val="100"/>
          <w:sz w:val="28"/>
          <w:szCs w:val="28"/>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auto"/>
          <w:spacing w:val="0"/>
          <w:w w:val="100"/>
          <w:sz w:val="28"/>
          <w:szCs w:val="28"/>
          <w:lang w:eastAsia="zh-CN"/>
        </w:rPr>
        <w:t>202</w:t>
      </w:r>
      <w:r>
        <w:rPr>
          <w:rFonts w:hint="eastAsia" w:ascii="宋体" w:hAnsi="宋体" w:eastAsia="宋体" w:cs="宋体"/>
          <w:b w:val="0"/>
          <w:bCs w:val="0"/>
          <w:color w:val="auto"/>
          <w:spacing w:val="0"/>
          <w:w w:val="100"/>
          <w:sz w:val="28"/>
          <w:szCs w:val="28"/>
          <w:lang w:val="en-US" w:eastAsia="zh-CN"/>
        </w:rPr>
        <w:t>2</w:t>
      </w:r>
      <w:r>
        <w:rPr>
          <w:rFonts w:hint="eastAsia" w:ascii="宋体" w:hAnsi="宋体" w:eastAsia="宋体" w:cs="宋体"/>
          <w:b w:val="0"/>
          <w:bCs w:val="0"/>
          <w:color w:val="auto"/>
          <w:spacing w:val="0"/>
          <w:w w:val="100"/>
          <w:sz w:val="28"/>
          <w:szCs w:val="28"/>
          <w:lang w:eastAsia="zh-CN"/>
        </w:rPr>
        <w:t>年，县统计局坚持以习近平新时代中国特色社会主义思想为指导，深入</w:t>
      </w:r>
      <w:r>
        <w:rPr>
          <w:rFonts w:hint="eastAsia" w:ascii="宋体" w:hAnsi="宋体" w:eastAsia="宋体" w:cs="宋体"/>
          <w:b w:val="0"/>
          <w:bCs w:val="0"/>
          <w:color w:val="auto"/>
          <w:spacing w:val="0"/>
          <w:w w:val="100"/>
          <w:sz w:val="28"/>
          <w:szCs w:val="28"/>
          <w:lang w:val="en-US" w:eastAsia="zh-CN"/>
        </w:rPr>
        <w:t>学习</w:t>
      </w:r>
      <w:r>
        <w:rPr>
          <w:rFonts w:hint="eastAsia" w:ascii="宋体" w:hAnsi="宋体" w:eastAsia="宋体" w:cs="宋体"/>
          <w:b w:val="0"/>
          <w:bCs w:val="0"/>
          <w:color w:val="auto"/>
          <w:spacing w:val="0"/>
          <w:w w:val="100"/>
          <w:sz w:val="28"/>
          <w:szCs w:val="28"/>
          <w:lang w:eastAsia="zh-CN"/>
        </w:rPr>
        <w:t>贯彻习近平总书记来陕考察重要讲话</w:t>
      </w:r>
      <w:r>
        <w:rPr>
          <w:rFonts w:hint="eastAsia" w:ascii="宋体" w:hAnsi="宋体" w:eastAsia="宋体" w:cs="宋体"/>
          <w:b w:val="0"/>
          <w:bCs w:val="0"/>
          <w:color w:val="auto"/>
          <w:spacing w:val="0"/>
          <w:w w:val="100"/>
          <w:sz w:val="28"/>
          <w:szCs w:val="28"/>
          <w:lang w:val="en-US" w:eastAsia="zh-CN"/>
        </w:rPr>
        <w:t>和</w:t>
      </w:r>
      <w:r>
        <w:rPr>
          <w:rFonts w:hint="eastAsia" w:ascii="宋体" w:hAnsi="宋体" w:eastAsia="宋体" w:cs="宋体"/>
          <w:b w:val="0"/>
          <w:bCs w:val="0"/>
          <w:color w:val="auto"/>
          <w:spacing w:val="0"/>
          <w:w w:val="100"/>
          <w:sz w:val="28"/>
          <w:szCs w:val="28"/>
        </w:rPr>
        <w:t>关于统计工作</w:t>
      </w:r>
      <w:r>
        <w:rPr>
          <w:rFonts w:hint="eastAsia" w:ascii="宋体" w:hAnsi="宋体" w:eastAsia="宋体" w:cs="宋体"/>
          <w:b w:val="0"/>
          <w:bCs w:val="0"/>
          <w:color w:val="auto"/>
          <w:spacing w:val="0"/>
          <w:w w:val="100"/>
          <w:sz w:val="28"/>
          <w:szCs w:val="28"/>
          <w:lang w:val="en-US" w:eastAsia="zh-CN"/>
        </w:rPr>
        <w:t>的</w:t>
      </w:r>
      <w:r>
        <w:rPr>
          <w:rFonts w:hint="eastAsia" w:ascii="宋体" w:hAnsi="宋体" w:eastAsia="宋体" w:cs="宋体"/>
          <w:b w:val="0"/>
          <w:bCs w:val="0"/>
          <w:color w:val="auto"/>
          <w:spacing w:val="0"/>
          <w:w w:val="100"/>
          <w:sz w:val="28"/>
          <w:szCs w:val="28"/>
        </w:rPr>
        <w:t>重要批示指示精神</w:t>
      </w:r>
      <w:r>
        <w:rPr>
          <w:rFonts w:hint="eastAsia" w:ascii="宋体" w:hAnsi="宋体" w:eastAsia="宋体" w:cs="宋体"/>
          <w:b w:val="0"/>
          <w:bCs w:val="0"/>
          <w:color w:val="auto"/>
          <w:spacing w:val="0"/>
          <w:w w:val="100"/>
          <w:sz w:val="28"/>
          <w:szCs w:val="28"/>
          <w:lang w:eastAsia="zh-CN"/>
        </w:rPr>
        <w:t>，紧紧围绕</w:t>
      </w:r>
      <w:r>
        <w:rPr>
          <w:rFonts w:hint="eastAsia" w:ascii="宋体" w:hAnsi="宋体" w:eastAsia="宋体" w:cs="宋体"/>
          <w:b w:val="0"/>
          <w:bCs w:val="0"/>
          <w:color w:val="auto"/>
          <w:spacing w:val="0"/>
          <w:w w:val="100"/>
          <w:sz w:val="28"/>
          <w:szCs w:val="28"/>
          <w:lang w:val="en-US" w:eastAsia="zh-CN"/>
        </w:rPr>
        <w:t>县委、县政府各项中心工作，积极开展重要经济运行指标</w:t>
      </w:r>
      <w:r>
        <w:rPr>
          <w:rFonts w:hint="eastAsia" w:ascii="宋体" w:hAnsi="宋体" w:eastAsia="宋体" w:cs="宋体"/>
          <w:b w:val="0"/>
          <w:bCs w:val="0"/>
          <w:color w:val="auto"/>
          <w:spacing w:val="0"/>
          <w:w w:val="100"/>
          <w:sz w:val="28"/>
          <w:szCs w:val="28"/>
          <w:lang w:eastAsia="zh-CN"/>
        </w:rPr>
        <w:t>数据</w:t>
      </w:r>
      <w:r>
        <w:rPr>
          <w:rFonts w:hint="eastAsia" w:ascii="宋体" w:hAnsi="宋体" w:eastAsia="宋体" w:cs="宋体"/>
          <w:b w:val="0"/>
          <w:bCs w:val="0"/>
          <w:color w:val="auto"/>
          <w:spacing w:val="0"/>
          <w:w w:val="100"/>
          <w:sz w:val="28"/>
          <w:szCs w:val="28"/>
          <w:lang w:val="en-US" w:eastAsia="zh-CN"/>
        </w:rPr>
        <w:t>定期</w:t>
      </w:r>
      <w:r>
        <w:rPr>
          <w:rFonts w:hint="eastAsia" w:ascii="宋体" w:hAnsi="宋体" w:eastAsia="宋体" w:cs="宋体"/>
          <w:b w:val="0"/>
          <w:bCs w:val="0"/>
          <w:color w:val="auto"/>
          <w:spacing w:val="0"/>
          <w:w w:val="100"/>
          <w:sz w:val="28"/>
          <w:szCs w:val="28"/>
          <w:lang w:eastAsia="zh-CN"/>
        </w:rPr>
        <w:t>发布和分析解读</w:t>
      </w:r>
      <w:r>
        <w:rPr>
          <w:rFonts w:hint="eastAsia" w:ascii="宋体" w:hAnsi="宋体" w:eastAsia="宋体" w:cs="宋体"/>
          <w:b w:val="0"/>
          <w:bCs w:val="0"/>
          <w:color w:val="auto"/>
          <w:spacing w:val="0"/>
          <w:w w:val="100"/>
          <w:sz w:val="28"/>
          <w:szCs w:val="28"/>
          <w:lang w:val="en-US" w:eastAsia="zh-CN"/>
        </w:rPr>
        <w:t>工作</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提升</w:t>
      </w:r>
      <w:r>
        <w:rPr>
          <w:rFonts w:hint="eastAsia" w:ascii="宋体" w:hAnsi="宋体" w:eastAsia="宋体" w:cs="宋体"/>
          <w:b w:val="0"/>
          <w:bCs w:val="0"/>
          <w:color w:val="auto"/>
          <w:spacing w:val="0"/>
          <w:w w:val="100"/>
          <w:sz w:val="28"/>
          <w:szCs w:val="28"/>
          <w:lang w:eastAsia="zh-CN"/>
        </w:rPr>
        <w:t>统计服务能力，提高政府统计透明度和公信力，</w:t>
      </w:r>
      <w:r>
        <w:rPr>
          <w:rFonts w:hint="eastAsia" w:ascii="宋体" w:hAnsi="宋体" w:eastAsia="宋体" w:cs="宋体"/>
          <w:b w:val="0"/>
          <w:bCs w:val="0"/>
          <w:color w:val="auto"/>
          <w:spacing w:val="0"/>
          <w:w w:val="100"/>
          <w:sz w:val="28"/>
          <w:szCs w:val="28"/>
          <w:lang w:val="en-US" w:eastAsia="zh-CN"/>
        </w:rPr>
        <w:t>充分</w:t>
      </w:r>
      <w:r>
        <w:rPr>
          <w:rFonts w:hint="eastAsia" w:ascii="宋体" w:hAnsi="宋体" w:eastAsia="宋体" w:cs="宋体"/>
          <w:b w:val="0"/>
          <w:bCs w:val="0"/>
          <w:color w:val="auto"/>
          <w:spacing w:val="0"/>
          <w:w w:val="100"/>
          <w:sz w:val="28"/>
          <w:szCs w:val="28"/>
          <w:lang w:eastAsia="zh-CN"/>
        </w:rPr>
        <w:t>发挥</w:t>
      </w:r>
      <w:r>
        <w:rPr>
          <w:rFonts w:hint="eastAsia" w:ascii="宋体" w:hAnsi="宋体" w:eastAsia="宋体" w:cs="宋体"/>
          <w:b w:val="0"/>
          <w:bCs w:val="0"/>
          <w:color w:val="auto"/>
          <w:spacing w:val="0"/>
          <w:w w:val="100"/>
          <w:sz w:val="28"/>
          <w:szCs w:val="28"/>
          <w:lang w:val="en-US" w:eastAsia="zh-CN"/>
        </w:rPr>
        <w:t>宏观决策参谋助手作用</w:t>
      </w:r>
      <w:r>
        <w:rPr>
          <w:rFonts w:hint="eastAsia" w:ascii="宋体" w:hAnsi="宋体" w:eastAsia="宋体" w:cs="宋体"/>
          <w:b w:val="0"/>
          <w:bCs w:val="0"/>
          <w:color w:val="auto"/>
          <w:spacing w:val="0"/>
          <w:w w:val="100"/>
          <w:sz w:val="28"/>
          <w:szCs w:val="28"/>
          <w:lang w:eastAsia="zh-CN"/>
        </w:rPr>
        <w:t>。一是</w:t>
      </w:r>
      <w:r>
        <w:rPr>
          <w:rFonts w:hint="eastAsia" w:ascii="宋体" w:hAnsi="宋体" w:eastAsia="宋体" w:cs="宋体"/>
          <w:b w:val="0"/>
          <w:bCs w:val="0"/>
          <w:color w:val="auto"/>
          <w:spacing w:val="0"/>
          <w:w w:val="100"/>
          <w:sz w:val="28"/>
          <w:szCs w:val="28"/>
          <w:lang w:val="en-US" w:eastAsia="zh-CN"/>
        </w:rPr>
        <w:t>切实</w:t>
      </w:r>
      <w:r>
        <w:rPr>
          <w:rFonts w:hint="eastAsia" w:ascii="宋体" w:hAnsi="宋体" w:eastAsia="宋体" w:cs="宋体"/>
          <w:b w:val="0"/>
          <w:bCs w:val="0"/>
          <w:color w:val="auto"/>
          <w:spacing w:val="0"/>
          <w:w w:val="100"/>
          <w:sz w:val="28"/>
          <w:szCs w:val="28"/>
          <w:lang w:eastAsia="zh-CN"/>
        </w:rPr>
        <w:t>加强领导，</w:t>
      </w:r>
      <w:r>
        <w:rPr>
          <w:rFonts w:hint="eastAsia" w:ascii="宋体" w:hAnsi="宋体" w:eastAsia="宋体" w:cs="宋体"/>
          <w:b w:val="0"/>
          <w:bCs w:val="0"/>
          <w:color w:val="auto"/>
          <w:spacing w:val="0"/>
          <w:w w:val="100"/>
          <w:sz w:val="28"/>
          <w:szCs w:val="28"/>
          <w:lang w:val="en-US" w:eastAsia="zh-CN"/>
        </w:rPr>
        <w:t>将政府信息公开工作纳入机关效能与作风建设的重要内容，由局党组统一领导，定期进行研判分析和组织学习，</w:t>
      </w:r>
      <w:r>
        <w:rPr>
          <w:rFonts w:hint="eastAsia" w:ascii="宋体" w:hAnsi="宋体" w:eastAsia="宋体" w:cs="宋体"/>
          <w:b w:val="0"/>
          <w:bCs w:val="0"/>
          <w:color w:val="auto"/>
          <w:spacing w:val="0"/>
          <w:w w:val="100"/>
          <w:sz w:val="28"/>
          <w:szCs w:val="28"/>
          <w:lang w:eastAsia="zh-CN"/>
        </w:rPr>
        <w:t>提</w:t>
      </w:r>
      <w:r>
        <w:rPr>
          <w:rFonts w:hint="eastAsia" w:ascii="宋体" w:hAnsi="宋体" w:eastAsia="宋体" w:cs="宋体"/>
          <w:b w:val="0"/>
          <w:bCs w:val="0"/>
          <w:color w:val="auto"/>
          <w:spacing w:val="0"/>
          <w:w w:val="100"/>
          <w:sz w:val="28"/>
          <w:szCs w:val="28"/>
          <w:lang w:val="en-US" w:eastAsia="zh-CN"/>
        </w:rPr>
        <w:t>高全体干部的政治站位和</w:t>
      </w:r>
      <w:r>
        <w:rPr>
          <w:rFonts w:hint="eastAsia" w:ascii="宋体" w:hAnsi="宋体" w:eastAsia="宋体" w:cs="宋体"/>
          <w:b w:val="0"/>
          <w:bCs w:val="0"/>
          <w:color w:val="auto"/>
          <w:spacing w:val="0"/>
          <w:w w:val="100"/>
          <w:sz w:val="28"/>
          <w:szCs w:val="28"/>
          <w:lang w:eastAsia="zh-CN"/>
        </w:rPr>
        <w:t>思想认识，</w:t>
      </w:r>
      <w:r>
        <w:rPr>
          <w:rFonts w:hint="eastAsia" w:ascii="宋体" w:hAnsi="宋体" w:eastAsia="宋体" w:cs="宋体"/>
          <w:b w:val="0"/>
          <w:bCs w:val="0"/>
          <w:color w:val="auto"/>
          <w:spacing w:val="0"/>
          <w:w w:val="100"/>
          <w:sz w:val="28"/>
          <w:szCs w:val="28"/>
          <w:lang w:val="en-US" w:eastAsia="zh-CN"/>
        </w:rPr>
        <w:t>坚持</w:t>
      </w:r>
      <w:r>
        <w:rPr>
          <w:rFonts w:hint="eastAsia" w:ascii="宋体" w:hAnsi="宋体" w:eastAsia="宋体" w:cs="宋体"/>
          <w:b w:val="0"/>
          <w:bCs w:val="0"/>
          <w:color w:val="auto"/>
          <w:spacing w:val="0"/>
          <w:w w:val="100"/>
          <w:sz w:val="28"/>
          <w:szCs w:val="28"/>
          <w:lang w:eastAsia="zh-CN"/>
        </w:rPr>
        <w:t>把政府信息公开作为回应公众关切，接受人民群众监督、提供</w:t>
      </w:r>
      <w:r>
        <w:rPr>
          <w:rFonts w:hint="eastAsia" w:ascii="宋体" w:hAnsi="宋体" w:eastAsia="宋体" w:cs="宋体"/>
          <w:b w:val="0"/>
          <w:bCs w:val="0"/>
          <w:color w:val="auto"/>
          <w:spacing w:val="0"/>
          <w:w w:val="100"/>
          <w:sz w:val="28"/>
          <w:szCs w:val="28"/>
          <w:lang w:val="en-US" w:eastAsia="zh-CN"/>
        </w:rPr>
        <w:t>统计服务</w:t>
      </w:r>
      <w:r>
        <w:rPr>
          <w:rFonts w:hint="eastAsia" w:ascii="宋体" w:hAnsi="宋体" w:eastAsia="宋体" w:cs="宋体"/>
          <w:b w:val="0"/>
          <w:bCs w:val="0"/>
          <w:color w:val="auto"/>
          <w:spacing w:val="0"/>
          <w:w w:val="100"/>
          <w:sz w:val="28"/>
          <w:szCs w:val="28"/>
          <w:lang w:eastAsia="zh-CN"/>
        </w:rPr>
        <w:t>的窗口。二是完善公开流程，</w:t>
      </w:r>
      <w:r>
        <w:rPr>
          <w:rFonts w:hint="eastAsia" w:ascii="宋体" w:hAnsi="宋体" w:eastAsia="宋体" w:cs="宋体"/>
          <w:b w:val="0"/>
          <w:bCs w:val="0"/>
          <w:color w:val="auto"/>
          <w:spacing w:val="0"/>
          <w:w w:val="100"/>
          <w:sz w:val="28"/>
          <w:szCs w:val="28"/>
          <w:lang w:val="en-US" w:eastAsia="zh-CN"/>
        </w:rPr>
        <w:t>严格</w:t>
      </w:r>
      <w:r>
        <w:rPr>
          <w:rFonts w:hint="eastAsia" w:ascii="宋体" w:hAnsi="宋体" w:eastAsia="宋体" w:cs="宋体"/>
          <w:b w:val="0"/>
          <w:bCs w:val="0"/>
          <w:color w:val="auto"/>
          <w:spacing w:val="0"/>
          <w:w w:val="100"/>
          <w:sz w:val="28"/>
          <w:szCs w:val="28"/>
          <w:lang w:eastAsia="zh-CN"/>
        </w:rPr>
        <w:t>按照“分管领导审核、主要领导审批”和“谁提供，谁</w:t>
      </w:r>
      <w:r>
        <w:rPr>
          <w:rFonts w:hint="eastAsia" w:ascii="宋体" w:hAnsi="宋体" w:eastAsia="宋体" w:cs="宋体"/>
          <w:b w:val="0"/>
          <w:bCs w:val="0"/>
          <w:color w:val="auto"/>
          <w:spacing w:val="0"/>
          <w:w w:val="100"/>
          <w:sz w:val="28"/>
          <w:szCs w:val="28"/>
          <w:lang w:val="en-US" w:eastAsia="zh-CN"/>
        </w:rPr>
        <w:t>主</w:t>
      </w:r>
      <w:r>
        <w:rPr>
          <w:rFonts w:hint="eastAsia" w:ascii="宋体" w:hAnsi="宋体" w:eastAsia="宋体" w:cs="宋体"/>
          <w:b w:val="0"/>
          <w:bCs w:val="0"/>
          <w:color w:val="auto"/>
          <w:spacing w:val="0"/>
          <w:w w:val="100"/>
          <w:sz w:val="28"/>
          <w:szCs w:val="28"/>
          <w:lang w:eastAsia="zh-CN"/>
        </w:rPr>
        <w:t>责”的原则，不断完善</w:t>
      </w:r>
      <w:r>
        <w:rPr>
          <w:rFonts w:hint="eastAsia" w:ascii="宋体" w:hAnsi="宋体" w:eastAsia="宋体" w:cs="宋体"/>
          <w:b w:val="0"/>
          <w:bCs w:val="0"/>
          <w:color w:val="auto"/>
          <w:spacing w:val="0"/>
          <w:w w:val="100"/>
          <w:sz w:val="28"/>
          <w:szCs w:val="28"/>
          <w:lang w:val="en-US" w:eastAsia="zh-CN"/>
        </w:rPr>
        <w:t>政府</w:t>
      </w:r>
      <w:r>
        <w:rPr>
          <w:rFonts w:hint="eastAsia" w:ascii="宋体" w:hAnsi="宋体" w:eastAsia="宋体" w:cs="宋体"/>
          <w:b w:val="0"/>
          <w:bCs w:val="0"/>
          <w:color w:val="auto"/>
          <w:spacing w:val="0"/>
          <w:w w:val="100"/>
          <w:sz w:val="28"/>
          <w:szCs w:val="28"/>
          <w:lang w:eastAsia="zh-CN"/>
        </w:rPr>
        <w:t>信息公开工作机制，</w:t>
      </w:r>
      <w:r>
        <w:rPr>
          <w:rFonts w:hint="eastAsia" w:ascii="宋体" w:hAnsi="宋体" w:eastAsia="宋体" w:cs="宋体"/>
          <w:b w:val="0"/>
          <w:bCs w:val="0"/>
          <w:color w:val="auto"/>
          <w:spacing w:val="0"/>
          <w:w w:val="100"/>
          <w:sz w:val="28"/>
          <w:szCs w:val="28"/>
          <w:lang w:val="en-US" w:eastAsia="zh-CN"/>
        </w:rPr>
        <w:t>进一步</w:t>
      </w:r>
      <w:r>
        <w:rPr>
          <w:rFonts w:hint="eastAsia" w:ascii="宋体" w:hAnsi="宋体" w:eastAsia="宋体" w:cs="宋体"/>
          <w:b w:val="0"/>
          <w:bCs w:val="0"/>
          <w:color w:val="auto"/>
          <w:spacing w:val="0"/>
          <w:w w:val="100"/>
          <w:sz w:val="28"/>
          <w:szCs w:val="28"/>
          <w:lang w:eastAsia="zh-CN"/>
        </w:rPr>
        <w:t>加强对</w:t>
      </w:r>
      <w:r>
        <w:rPr>
          <w:rFonts w:hint="eastAsia" w:ascii="宋体" w:hAnsi="宋体" w:eastAsia="宋体" w:cs="宋体"/>
          <w:b w:val="0"/>
          <w:bCs w:val="0"/>
          <w:color w:val="auto"/>
          <w:spacing w:val="0"/>
          <w:w w:val="100"/>
          <w:sz w:val="28"/>
          <w:szCs w:val="28"/>
          <w:lang w:val="en-US" w:eastAsia="zh-CN"/>
        </w:rPr>
        <w:t>公开</w:t>
      </w:r>
      <w:r>
        <w:rPr>
          <w:rFonts w:hint="eastAsia" w:ascii="宋体" w:hAnsi="宋体" w:eastAsia="宋体" w:cs="宋体"/>
          <w:b w:val="0"/>
          <w:bCs w:val="0"/>
          <w:color w:val="auto"/>
          <w:spacing w:val="0"/>
          <w:w w:val="100"/>
          <w:sz w:val="28"/>
          <w:szCs w:val="28"/>
          <w:lang w:eastAsia="zh-CN"/>
        </w:rPr>
        <w:t>信息准确性的审核</w:t>
      </w:r>
      <w:r>
        <w:rPr>
          <w:rFonts w:hint="eastAsia" w:ascii="宋体" w:hAnsi="宋体" w:eastAsia="宋体" w:cs="宋体"/>
          <w:b w:val="0"/>
          <w:bCs w:val="0"/>
          <w:color w:val="auto"/>
          <w:spacing w:val="0"/>
          <w:w w:val="100"/>
          <w:sz w:val="28"/>
          <w:szCs w:val="28"/>
          <w:lang w:val="en-US" w:eastAsia="zh-CN"/>
        </w:rPr>
        <w:t>把关</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确保公开信息的及时性、真实性、准确性。三</w:t>
      </w:r>
      <w:r>
        <w:rPr>
          <w:rFonts w:hint="eastAsia" w:ascii="宋体" w:hAnsi="宋体" w:eastAsia="宋体" w:cs="宋体"/>
          <w:b w:val="0"/>
          <w:bCs w:val="0"/>
          <w:color w:val="auto"/>
          <w:spacing w:val="0"/>
          <w:w w:val="100"/>
          <w:sz w:val="28"/>
          <w:szCs w:val="28"/>
          <w:lang w:eastAsia="zh-CN"/>
        </w:rPr>
        <w:t>是</w:t>
      </w:r>
      <w:r>
        <w:rPr>
          <w:rFonts w:hint="eastAsia" w:ascii="宋体" w:hAnsi="宋体" w:eastAsia="宋体" w:cs="宋体"/>
          <w:b w:val="0"/>
          <w:bCs w:val="0"/>
          <w:color w:val="auto"/>
          <w:spacing w:val="0"/>
          <w:w w:val="100"/>
          <w:sz w:val="28"/>
          <w:szCs w:val="28"/>
          <w:lang w:val="en-US" w:eastAsia="zh-CN"/>
        </w:rPr>
        <w:t>提升</w:t>
      </w:r>
      <w:r>
        <w:rPr>
          <w:rFonts w:hint="eastAsia" w:ascii="宋体" w:hAnsi="宋体" w:eastAsia="宋体" w:cs="宋体"/>
          <w:b w:val="0"/>
          <w:bCs w:val="0"/>
          <w:color w:val="auto"/>
          <w:spacing w:val="0"/>
          <w:w w:val="100"/>
          <w:sz w:val="28"/>
          <w:szCs w:val="28"/>
          <w:lang w:eastAsia="zh-CN"/>
        </w:rPr>
        <w:t>服务</w:t>
      </w:r>
      <w:r>
        <w:rPr>
          <w:rFonts w:hint="eastAsia" w:ascii="宋体" w:hAnsi="宋体" w:eastAsia="宋体" w:cs="宋体"/>
          <w:b w:val="0"/>
          <w:bCs w:val="0"/>
          <w:color w:val="auto"/>
          <w:spacing w:val="0"/>
          <w:w w:val="100"/>
          <w:sz w:val="28"/>
          <w:szCs w:val="28"/>
          <w:lang w:val="en-US" w:eastAsia="zh-CN"/>
        </w:rPr>
        <w:t>效能</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围绕</w:t>
      </w:r>
      <w:r>
        <w:rPr>
          <w:rFonts w:hint="eastAsia" w:ascii="宋体" w:hAnsi="宋体" w:eastAsia="宋体" w:cs="宋体"/>
          <w:b w:val="0"/>
          <w:bCs w:val="0"/>
          <w:color w:val="auto"/>
          <w:spacing w:val="0"/>
          <w:w w:val="100"/>
          <w:sz w:val="28"/>
          <w:szCs w:val="28"/>
          <w:lang w:eastAsia="zh-CN"/>
        </w:rPr>
        <w:t>统计</w:t>
      </w:r>
      <w:r>
        <w:rPr>
          <w:rFonts w:hint="eastAsia" w:ascii="宋体" w:hAnsi="宋体" w:eastAsia="宋体" w:cs="宋体"/>
          <w:b w:val="0"/>
          <w:bCs w:val="0"/>
          <w:color w:val="auto"/>
          <w:spacing w:val="0"/>
          <w:w w:val="100"/>
          <w:sz w:val="28"/>
          <w:szCs w:val="28"/>
          <w:lang w:val="en-US" w:eastAsia="zh-CN"/>
        </w:rPr>
        <w:t>成果的运用</w:t>
      </w:r>
      <w:r>
        <w:rPr>
          <w:rFonts w:hint="eastAsia" w:ascii="宋体" w:hAnsi="宋体" w:eastAsia="宋体" w:cs="宋体"/>
          <w:b w:val="0"/>
          <w:bCs w:val="0"/>
          <w:color w:val="auto"/>
          <w:spacing w:val="0"/>
          <w:w w:val="100"/>
          <w:sz w:val="28"/>
          <w:szCs w:val="28"/>
          <w:lang w:eastAsia="zh-CN"/>
        </w:rPr>
        <w:t>效</w:t>
      </w:r>
      <w:r>
        <w:rPr>
          <w:rFonts w:hint="eastAsia" w:ascii="宋体" w:hAnsi="宋体" w:eastAsia="宋体" w:cs="宋体"/>
          <w:b w:val="0"/>
          <w:bCs w:val="0"/>
          <w:color w:val="auto"/>
          <w:spacing w:val="0"/>
          <w:w w:val="100"/>
          <w:sz w:val="28"/>
          <w:szCs w:val="28"/>
          <w:lang w:val="en-US" w:eastAsia="zh-CN"/>
        </w:rPr>
        <w:t>益</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通过及时公开发布国民经济和社会发展统计信息，定期为县委、县政府提供国民经济运行统计分析、监测预警，适时</w:t>
      </w:r>
      <w:r>
        <w:rPr>
          <w:rFonts w:hint="eastAsia" w:ascii="宋体" w:hAnsi="宋体" w:eastAsia="宋体" w:cs="宋体"/>
          <w:b w:val="0"/>
          <w:bCs w:val="0"/>
          <w:color w:val="auto"/>
          <w:spacing w:val="0"/>
          <w:w w:val="100"/>
          <w:sz w:val="28"/>
          <w:szCs w:val="28"/>
          <w:lang w:eastAsia="zh-CN"/>
        </w:rPr>
        <w:t>为县直部门、社会团体和</w:t>
      </w:r>
      <w:r>
        <w:rPr>
          <w:rFonts w:hint="eastAsia" w:ascii="宋体" w:hAnsi="宋体" w:eastAsia="宋体" w:cs="宋体"/>
          <w:b w:val="0"/>
          <w:bCs w:val="0"/>
          <w:color w:val="auto"/>
          <w:spacing w:val="0"/>
          <w:w w:val="100"/>
          <w:sz w:val="28"/>
          <w:szCs w:val="28"/>
          <w:lang w:val="en-US" w:eastAsia="zh-CN"/>
        </w:rPr>
        <w:t>社会公众</w:t>
      </w:r>
      <w:r>
        <w:rPr>
          <w:rFonts w:hint="eastAsia" w:ascii="宋体" w:hAnsi="宋体" w:eastAsia="宋体" w:cs="宋体"/>
          <w:b w:val="0"/>
          <w:bCs w:val="0"/>
          <w:color w:val="auto"/>
          <w:spacing w:val="0"/>
          <w:w w:val="100"/>
          <w:sz w:val="28"/>
          <w:szCs w:val="28"/>
          <w:lang w:eastAsia="zh-CN"/>
        </w:rPr>
        <w:t>提</w:t>
      </w:r>
      <w:r>
        <w:rPr>
          <w:rFonts w:hint="eastAsia" w:ascii="宋体" w:hAnsi="宋体" w:eastAsia="宋体" w:cs="宋体"/>
          <w:b w:val="0"/>
          <w:bCs w:val="0"/>
          <w:color w:val="auto"/>
          <w:spacing w:val="0"/>
          <w:w w:val="100"/>
          <w:sz w:val="28"/>
          <w:szCs w:val="28"/>
          <w:lang w:val="en-US" w:eastAsia="zh-CN"/>
        </w:rPr>
        <w:t>供</w:t>
      </w:r>
      <w:r>
        <w:rPr>
          <w:rFonts w:hint="eastAsia" w:ascii="宋体" w:hAnsi="宋体" w:eastAsia="宋体" w:cs="宋体"/>
          <w:b w:val="0"/>
          <w:bCs w:val="0"/>
          <w:color w:val="auto"/>
          <w:spacing w:val="0"/>
          <w:w w:val="100"/>
          <w:sz w:val="28"/>
          <w:szCs w:val="28"/>
          <w:lang w:eastAsia="zh-CN"/>
        </w:rPr>
        <w:t>统计资料和统计咨询服务，</w:t>
      </w:r>
      <w:r>
        <w:rPr>
          <w:rFonts w:hint="eastAsia" w:ascii="宋体" w:hAnsi="宋体" w:eastAsia="宋体" w:cs="宋体"/>
          <w:b w:val="0"/>
          <w:bCs w:val="0"/>
          <w:color w:val="auto"/>
          <w:spacing w:val="0"/>
          <w:w w:val="100"/>
          <w:sz w:val="28"/>
          <w:szCs w:val="28"/>
          <w:lang w:val="en-US" w:eastAsia="zh-CN"/>
        </w:rPr>
        <w:t>最大限度地发挥了统计数据的运用效益。四</w:t>
      </w:r>
      <w:r>
        <w:rPr>
          <w:rFonts w:hint="eastAsia" w:ascii="宋体" w:hAnsi="宋体" w:eastAsia="宋体" w:cs="宋体"/>
          <w:b w:val="0"/>
          <w:bCs w:val="0"/>
          <w:color w:val="auto"/>
          <w:spacing w:val="0"/>
          <w:w w:val="100"/>
          <w:sz w:val="28"/>
          <w:szCs w:val="28"/>
          <w:lang w:eastAsia="zh-CN"/>
        </w:rPr>
        <w:t>是</w:t>
      </w:r>
      <w:r>
        <w:rPr>
          <w:rFonts w:hint="eastAsia" w:ascii="宋体" w:hAnsi="宋体" w:eastAsia="宋体" w:cs="宋体"/>
          <w:b w:val="0"/>
          <w:bCs w:val="0"/>
          <w:color w:val="auto"/>
          <w:spacing w:val="0"/>
          <w:w w:val="100"/>
          <w:sz w:val="28"/>
          <w:szCs w:val="28"/>
          <w:lang w:val="en-US" w:eastAsia="zh-CN"/>
        </w:rPr>
        <w:t>完善激励机制</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为</w:t>
      </w:r>
      <w:r>
        <w:rPr>
          <w:rFonts w:hint="eastAsia" w:ascii="宋体" w:hAnsi="宋体" w:eastAsia="宋体" w:cs="宋体"/>
          <w:b w:val="0"/>
          <w:bCs w:val="0"/>
          <w:color w:val="auto"/>
          <w:spacing w:val="0"/>
          <w:w w:val="100"/>
          <w:sz w:val="28"/>
          <w:szCs w:val="28"/>
          <w:lang w:eastAsia="zh-CN"/>
        </w:rPr>
        <w:t>充分发动</w:t>
      </w:r>
      <w:r>
        <w:rPr>
          <w:rFonts w:hint="eastAsia" w:ascii="宋体" w:hAnsi="宋体" w:eastAsia="宋体" w:cs="宋体"/>
          <w:b w:val="0"/>
          <w:bCs w:val="0"/>
          <w:color w:val="auto"/>
          <w:spacing w:val="0"/>
          <w:w w:val="100"/>
          <w:sz w:val="28"/>
          <w:szCs w:val="28"/>
          <w:lang w:val="en-US" w:eastAsia="zh-CN"/>
        </w:rPr>
        <w:t>全体干部职工积极</w:t>
      </w:r>
      <w:r>
        <w:rPr>
          <w:rFonts w:hint="eastAsia" w:ascii="宋体" w:hAnsi="宋体" w:eastAsia="宋体" w:cs="宋体"/>
          <w:b w:val="0"/>
          <w:bCs w:val="0"/>
          <w:color w:val="auto"/>
          <w:spacing w:val="0"/>
          <w:w w:val="100"/>
          <w:sz w:val="28"/>
          <w:szCs w:val="28"/>
          <w:lang w:eastAsia="zh-CN"/>
        </w:rPr>
        <w:t>参与政府信息</w:t>
      </w:r>
      <w:r>
        <w:rPr>
          <w:rFonts w:hint="eastAsia" w:ascii="宋体" w:hAnsi="宋体" w:eastAsia="宋体" w:cs="宋体"/>
          <w:b w:val="0"/>
          <w:bCs w:val="0"/>
          <w:color w:val="auto"/>
          <w:spacing w:val="0"/>
          <w:w w:val="100"/>
          <w:sz w:val="28"/>
          <w:szCs w:val="28"/>
          <w:lang w:val="en-US" w:eastAsia="zh-CN"/>
        </w:rPr>
        <w:t>公开发布工作，将</w:t>
      </w:r>
      <w:r>
        <w:rPr>
          <w:rFonts w:hint="eastAsia" w:ascii="宋体" w:hAnsi="宋体" w:eastAsia="宋体" w:cs="宋体"/>
          <w:b w:val="0"/>
          <w:bCs w:val="0"/>
          <w:color w:val="auto"/>
          <w:spacing w:val="0"/>
          <w:w w:val="100"/>
          <w:sz w:val="28"/>
          <w:szCs w:val="28"/>
          <w:lang w:eastAsia="zh-CN"/>
        </w:rPr>
        <w:t>政府信息公开</w:t>
      </w:r>
      <w:r>
        <w:rPr>
          <w:rFonts w:hint="eastAsia" w:ascii="宋体" w:hAnsi="宋体" w:eastAsia="宋体" w:cs="宋体"/>
          <w:b w:val="0"/>
          <w:bCs w:val="0"/>
          <w:color w:val="auto"/>
          <w:spacing w:val="0"/>
          <w:w w:val="100"/>
          <w:sz w:val="28"/>
          <w:szCs w:val="28"/>
          <w:lang w:val="en-US" w:eastAsia="zh-CN"/>
        </w:rPr>
        <w:t>纳入干部个人年度目标考核内容</w:t>
      </w:r>
      <w:r>
        <w:rPr>
          <w:rFonts w:hint="eastAsia" w:ascii="宋体" w:hAnsi="宋体" w:eastAsia="宋体" w:cs="宋体"/>
          <w:b w:val="0"/>
          <w:bCs w:val="0"/>
          <w:color w:val="auto"/>
          <w:spacing w:val="0"/>
          <w:w w:val="100"/>
          <w:sz w:val="28"/>
          <w:szCs w:val="28"/>
          <w:lang w:eastAsia="zh-CN"/>
        </w:rPr>
        <w:t>之一，</w:t>
      </w:r>
      <w:r>
        <w:rPr>
          <w:rFonts w:hint="eastAsia" w:ascii="宋体" w:hAnsi="宋体" w:eastAsia="宋体" w:cs="宋体"/>
          <w:b w:val="0"/>
          <w:bCs w:val="0"/>
          <w:color w:val="auto"/>
          <w:spacing w:val="0"/>
          <w:w w:val="100"/>
          <w:sz w:val="28"/>
          <w:szCs w:val="28"/>
          <w:lang w:val="en-US" w:eastAsia="zh-CN"/>
        </w:rPr>
        <w:t>通过建立</w:t>
      </w:r>
      <w:r>
        <w:rPr>
          <w:rFonts w:hint="eastAsia" w:ascii="宋体" w:hAnsi="宋体" w:eastAsia="宋体" w:cs="宋体"/>
          <w:b w:val="0"/>
          <w:bCs w:val="0"/>
          <w:color w:val="auto"/>
          <w:spacing w:val="0"/>
          <w:w w:val="100"/>
          <w:sz w:val="28"/>
          <w:szCs w:val="28"/>
          <w:lang w:eastAsia="zh-CN"/>
        </w:rPr>
        <w:t>完善考核</w:t>
      </w:r>
      <w:r>
        <w:rPr>
          <w:rFonts w:hint="eastAsia" w:ascii="宋体" w:hAnsi="宋体" w:eastAsia="宋体" w:cs="宋体"/>
          <w:b w:val="0"/>
          <w:bCs w:val="0"/>
          <w:color w:val="auto"/>
          <w:spacing w:val="0"/>
          <w:w w:val="100"/>
          <w:sz w:val="28"/>
          <w:szCs w:val="28"/>
          <w:lang w:val="en-US" w:eastAsia="zh-CN"/>
        </w:rPr>
        <w:t>激励机制</w:t>
      </w:r>
      <w:r>
        <w:rPr>
          <w:rFonts w:hint="eastAsia" w:ascii="宋体" w:hAnsi="宋体" w:eastAsia="宋体" w:cs="宋体"/>
          <w:b w:val="0"/>
          <w:bCs w:val="0"/>
          <w:color w:val="auto"/>
          <w:spacing w:val="0"/>
          <w:w w:val="100"/>
          <w:sz w:val="28"/>
          <w:szCs w:val="28"/>
          <w:lang w:eastAsia="zh-CN"/>
        </w:rPr>
        <w:t>，</w:t>
      </w:r>
      <w:r>
        <w:rPr>
          <w:rFonts w:hint="eastAsia" w:ascii="宋体" w:hAnsi="宋体" w:eastAsia="宋体" w:cs="宋体"/>
          <w:b w:val="0"/>
          <w:bCs w:val="0"/>
          <w:color w:val="auto"/>
          <w:spacing w:val="0"/>
          <w:w w:val="100"/>
          <w:sz w:val="28"/>
          <w:szCs w:val="28"/>
          <w:lang w:val="en-US" w:eastAsia="zh-CN"/>
        </w:rPr>
        <w:t>有效</w:t>
      </w:r>
      <w:r>
        <w:rPr>
          <w:rFonts w:hint="eastAsia" w:ascii="宋体" w:hAnsi="宋体" w:eastAsia="宋体" w:cs="宋体"/>
          <w:b w:val="0"/>
          <w:bCs w:val="0"/>
          <w:color w:val="auto"/>
          <w:spacing w:val="0"/>
          <w:w w:val="100"/>
          <w:sz w:val="28"/>
          <w:szCs w:val="28"/>
          <w:lang w:eastAsia="zh-CN"/>
        </w:rPr>
        <w:t>提升</w:t>
      </w:r>
      <w:r>
        <w:rPr>
          <w:rFonts w:hint="eastAsia" w:ascii="宋体" w:hAnsi="宋体" w:eastAsia="宋体" w:cs="宋体"/>
          <w:b w:val="0"/>
          <w:bCs w:val="0"/>
          <w:color w:val="auto"/>
          <w:spacing w:val="0"/>
          <w:w w:val="100"/>
          <w:sz w:val="28"/>
          <w:szCs w:val="28"/>
          <w:lang w:val="en-US" w:eastAsia="zh-CN"/>
        </w:rPr>
        <w:t>了政府</w:t>
      </w:r>
      <w:r>
        <w:rPr>
          <w:rFonts w:hint="eastAsia" w:ascii="宋体" w:hAnsi="宋体" w:eastAsia="宋体" w:cs="宋体"/>
          <w:b w:val="0"/>
          <w:bCs w:val="0"/>
          <w:color w:val="auto"/>
          <w:spacing w:val="0"/>
          <w:w w:val="100"/>
          <w:sz w:val="28"/>
          <w:szCs w:val="28"/>
          <w:lang w:eastAsia="zh-CN"/>
        </w:rPr>
        <w:t>信息公开工作效率</w:t>
      </w:r>
      <w:r>
        <w:rPr>
          <w:rFonts w:hint="eastAsia" w:ascii="宋体" w:hAnsi="宋体" w:eastAsia="宋体" w:cs="宋体"/>
          <w:b w:val="0"/>
          <w:bCs w:val="0"/>
          <w:color w:val="auto"/>
          <w:spacing w:val="0"/>
          <w:w w:val="100"/>
          <w:sz w:val="28"/>
          <w:szCs w:val="28"/>
          <w:lang w:val="en-US" w:eastAsia="zh-CN"/>
        </w:rPr>
        <w:t>和内在质量</w:t>
      </w:r>
      <w:r>
        <w:rPr>
          <w:rFonts w:hint="eastAsia" w:ascii="宋体" w:hAnsi="宋体" w:eastAsia="宋体" w:cs="宋体"/>
          <w:b w:val="0"/>
          <w:bCs w:val="0"/>
          <w:color w:val="auto"/>
          <w:spacing w:val="0"/>
          <w:w w:val="100"/>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000000" w:themeColor="text1"/>
          <w:spacing w:val="0"/>
          <w:w w:val="100"/>
          <w:sz w:val="28"/>
          <w:szCs w:val="28"/>
          <w:lang w:val="en-US" w:eastAsia="zh-CN"/>
          <w14:textFill>
            <w14:solidFill>
              <w14:schemeClr w14:val="tx1"/>
            </w14:solidFill>
          </w14:textFill>
        </w:rPr>
        <w:t>1、主动公开情况。</w:t>
      </w:r>
      <w:r>
        <w:rPr>
          <w:rFonts w:hint="eastAsia" w:ascii="宋体" w:hAnsi="宋体" w:eastAsia="宋体" w:cs="宋体"/>
          <w:b w:val="0"/>
          <w:bCs w:val="0"/>
          <w:color w:val="auto"/>
          <w:spacing w:val="0"/>
          <w:w w:val="100"/>
          <w:sz w:val="28"/>
          <w:szCs w:val="28"/>
          <w:lang w:val="en-US" w:eastAsia="zh-CN"/>
        </w:rPr>
        <w:t>一是通过县政府门户网站公开发布了《岚皋县2021年国民经济和社会发展统计公报》、2022年度本部门重点工作动态、各季度国民经济发展主要指标完成情况和部门预决算及“三公”经费信息等政府信息28条；二是通过陕西采购网对县统计局统计内网专用机房网络信息安全设备、机关办公设备等政府采购项目进行了主动公开，采购总金额共计16.71万元。本年度未产生规章、规范性文件、行政许可等其他需要主动公开的信息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auto"/>
          <w:spacing w:val="0"/>
          <w:w w:val="100"/>
          <w:sz w:val="28"/>
          <w:szCs w:val="28"/>
          <w:lang w:val="en-US" w:eastAsia="zh-CN"/>
        </w:rPr>
        <w:t>2、依申请公开情况。2022年度本部门未收到申请公开事项。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auto"/>
          <w:spacing w:val="0"/>
          <w:w w:val="100"/>
          <w:sz w:val="28"/>
          <w:szCs w:val="28"/>
          <w:lang w:val="en-US" w:eastAsia="zh-CN"/>
        </w:rPr>
        <w:t>3、政府信息管理情况。严格执行《</w:t>
      </w:r>
      <w:r>
        <w:rPr>
          <w:rFonts w:hint="eastAsia" w:ascii="宋体" w:hAnsi="宋体" w:eastAsia="宋体" w:cs="宋体"/>
          <w:b w:val="0"/>
          <w:bCs w:val="0"/>
          <w:color w:val="auto"/>
          <w:spacing w:val="0"/>
          <w:w w:val="100"/>
          <w:sz w:val="28"/>
          <w:szCs w:val="28"/>
          <w:lang w:eastAsia="zh-CN"/>
        </w:rPr>
        <w:t>中华人民共和国政府信息公开条例</w:t>
      </w:r>
      <w:r>
        <w:rPr>
          <w:rFonts w:hint="eastAsia" w:ascii="宋体" w:hAnsi="宋体" w:eastAsia="宋体" w:cs="宋体"/>
          <w:b w:val="0"/>
          <w:bCs w:val="0"/>
          <w:color w:val="auto"/>
          <w:spacing w:val="0"/>
          <w:w w:val="100"/>
          <w:sz w:val="28"/>
          <w:szCs w:val="28"/>
          <w:lang w:val="en-US" w:eastAsia="zh-CN"/>
        </w:rPr>
        <w:t>》和《岚皋县政府信息公开指南（2022年修订版）》，全面落实县人民政府办公室印发的《岚皋县政府信息公开工作考核暂行办法》、《岚皋县政府信息发布保密审查制度》、《岚皋县政府信息公开工作责任追究暂行办法》等制度，始终坚持公正、公平、合法、便民的原则，通过加强组织领导、明确责任分工，严格审核把关、规范发布流程，专人专档备案、全程跟踪监测，确保政府信息管理水平得到不断提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auto"/>
          <w:spacing w:val="0"/>
          <w:w w:val="100"/>
          <w:sz w:val="28"/>
          <w:szCs w:val="28"/>
          <w:lang w:val="en-US" w:eastAsia="zh-CN"/>
        </w:rPr>
        <w:t>4、平台建设情况。按照本部门职能职责和业务工作实际，县统计局尚未开通微信、微博、抖音等政务新媒体公众账号，未在县政务大厅单独设立办事窗口，政府信息公开主要通过县政府网站相关栏目对外发布，落实专人负责进行适时维护更新和舆情监测，确保公开信息准确、真实、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b w:val="0"/>
          <w:bCs w:val="0"/>
          <w:color w:val="auto"/>
          <w:spacing w:val="0"/>
          <w:w w:val="100"/>
          <w:sz w:val="28"/>
          <w:szCs w:val="28"/>
          <w:lang w:val="en-US" w:eastAsia="zh-CN"/>
        </w:rPr>
      </w:pPr>
      <w:r>
        <w:rPr>
          <w:rFonts w:hint="eastAsia" w:ascii="宋体" w:hAnsi="宋体" w:eastAsia="宋体" w:cs="宋体"/>
          <w:b w:val="0"/>
          <w:bCs w:val="0"/>
          <w:color w:val="auto"/>
          <w:spacing w:val="0"/>
          <w:w w:val="100"/>
          <w:sz w:val="28"/>
          <w:szCs w:val="28"/>
          <w:lang w:val="en-US" w:eastAsia="zh-CN"/>
        </w:rPr>
        <w:t>5、监督保障。一是将政府信息公开工作列入本部门的重要议事日程，加强领导，明确分工，定期通报；二是坚持定期公开与不定期公开相结合，建立完善了公开信息备案审查机制，确保及时、规范、准确；三是建立健全《网络信息安全突发事件应急预案》，明确专人负责，加强对本部门公开信息的舆情监测，及时、妥善处置问题，确保公开信息绝对安全。</w:t>
      </w:r>
    </w:p>
    <w:p>
      <w:pPr>
        <w:keepNext w:val="0"/>
        <w:keepLines w:val="0"/>
        <w:pageBreakBefore w:val="0"/>
        <w:widowControl/>
        <w:kinsoku/>
        <w:wordWrap/>
        <w:overflowPunct/>
        <w:topLinePunct w:val="0"/>
        <w:autoSpaceDE/>
        <w:autoSpaceDN/>
        <w:bidi w:val="0"/>
        <w:adjustRightInd/>
        <w:snapToGrid/>
        <w:spacing w:line="572" w:lineRule="exact"/>
        <w:ind w:firstLine="560" w:firstLineChars="200"/>
        <w:textAlignment w:val="auto"/>
        <w:rPr>
          <w:rFonts w:hint="eastAsia" w:ascii="黑体" w:hAnsi="黑体" w:eastAsia="黑体" w:cs="黑体"/>
          <w:b w:val="0"/>
          <w:bCs w:val="0"/>
          <w:spacing w:val="0"/>
          <w:w w:val="100"/>
          <w:kern w:val="0"/>
          <w:sz w:val="28"/>
          <w:szCs w:val="28"/>
        </w:rPr>
      </w:pPr>
      <w:r>
        <w:rPr>
          <w:rFonts w:hint="eastAsia" w:ascii="黑体" w:hAnsi="黑体" w:eastAsia="黑体" w:cs="黑体"/>
          <w:b w:val="0"/>
          <w:bCs w:val="0"/>
          <w:spacing w:val="0"/>
          <w:w w:val="100"/>
          <w:kern w:val="0"/>
          <w:sz w:val="28"/>
          <w:szCs w:val="28"/>
        </w:rPr>
        <w:t>二、主动公开政府信息情况</w:t>
      </w:r>
    </w:p>
    <w:tbl>
      <w:tblPr>
        <w:tblStyle w:val="5"/>
        <w:tblW w:w="9040" w:type="dxa"/>
        <w:jc w:val="center"/>
        <w:tblLayout w:type="fixed"/>
        <w:tblCellMar>
          <w:top w:w="0" w:type="dxa"/>
          <w:left w:w="108" w:type="dxa"/>
          <w:bottom w:w="0" w:type="dxa"/>
          <w:right w:w="108" w:type="dxa"/>
        </w:tblCellMar>
      </w:tblPr>
      <w:tblGrid>
        <w:gridCol w:w="3275"/>
        <w:gridCol w:w="1961"/>
        <w:gridCol w:w="1700"/>
        <w:gridCol w:w="2104"/>
      </w:tblGrid>
      <w:tr>
        <w:trPr>
          <w:trHeight w:val="448" w:hRule="atLeast"/>
          <w:jc w:val="center"/>
        </w:trPr>
        <w:tc>
          <w:tcPr>
            <w:tcW w:w="90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信息内容</w:t>
            </w:r>
          </w:p>
        </w:tc>
        <w:tc>
          <w:tcPr>
            <w:tcW w:w="196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本年</w:t>
            </w:r>
            <w:r>
              <w:rPr>
                <w:rFonts w:hint="eastAsia" w:ascii="宋体" w:hAnsi="宋体" w:cs="宋体"/>
                <w:kern w:val="0"/>
                <w:sz w:val="20"/>
                <w:szCs w:val="20"/>
              </w:rPr>
              <w:t>制</w:t>
            </w:r>
            <w:r>
              <w:rPr>
                <w:rFonts w:hint="eastAsia" w:ascii="宋体" w:hAnsi="宋体" w:cs="宋体"/>
                <w:kern w:val="0"/>
                <w:sz w:val="20"/>
                <w:szCs w:val="20"/>
                <w:lang w:val="en-US" w:eastAsia="zh-CN"/>
              </w:rPr>
              <w:t>发件</w:t>
            </w:r>
            <w:r>
              <w:rPr>
                <w:rFonts w:hint="eastAsia" w:ascii="宋体" w:hAnsi="宋体" w:cs="宋体"/>
                <w:kern w:val="0"/>
                <w:sz w:val="20"/>
                <w:szCs w:val="20"/>
              </w:rPr>
              <w:t>数</w:t>
            </w: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宋体" w:cs="Times New Roman"/>
                <w:kern w:val="0"/>
                <w:sz w:val="24"/>
                <w:szCs w:val="24"/>
                <w:lang w:val="en-US"/>
              </w:rPr>
            </w:pPr>
            <w:r>
              <w:rPr>
                <w:rFonts w:hint="eastAsia" w:ascii="宋体" w:hAnsi="宋体" w:cs="宋体"/>
                <w:color w:val="000000"/>
                <w:kern w:val="0"/>
                <w:sz w:val="20"/>
                <w:szCs w:val="20"/>
              </w:rPr>
              <w:t>本年</w:t>
            </w:r>
            <w:r>
              <w:rPr>
                <w:rFonts w:hint="eastAsia" w:ascii="宋体" w:hAnsi="宋体" w:cs="宋体"/>
                <w:color w:val="000000"/>
                <w:kern w:val="0"/>
                <w:sz w:val="20"/>
                <w:szCs w:val="20"/>
                <w:lang w:val="en-US" w:eastAsia="zh-CN"/>
              </w:rPr>
              <w:t>废止件数</w:t>
            </w:r>
          </w:p>
        </w:tc>
        <w:tc>
          <w:tcPr>
            <w:tcW w:w="210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default" w:ascii="宋体" w:cs="Times New Roman"/>
                <w:kern w:val="0"/>
                <w:sz w:val="24"/>
                <w:szCs w:val="24"/>
                <w:lang w:val="en-US"/>
              </w:rPr>
            </w:pPr>
            <w:r>
              <w:rPr>
                <w:rFonts w:hint="eastAsia" w:ascii="宋体" w:hAnsi="宋体" w:cs="宋体"/>
                <w:color w:val="000000"/>
                <w:kern w:val="0"/>
                <w:sz w:val="20"/>
                <w:szCs w:val="20"/>
                <w:lang w:val="en-US" w:eastAsia="zh-CN"/>
              </w:rPr>
              <w:t>现行有效件数</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规章</w:t>
            </w:r>
          </w:p>
        </w:tc>
        <w:tc>
          <w:tcPr>
            <w:tcW w:w="196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1700"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210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规范性文件</w:t>
            </w:r>
          </w:p>
        </w:tc>
        <w:tc>
          <w:tcPr>
            <w:tcW w:w="1961"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hAnsi="宋体" w:cs="宋体"/>
                <w:color w:val="000000"/>
                <w:kern w:val="0"/>
                <w:sz w:val="20"/>
                <w:szCs w:val="20"/>
                <w:lang w:val="en-US" w:eastAsia="zh-CN"/>
              </w:rPr>
              <w:t>0</w:t>
            </w:r>
          </w:p>
        </w:tc>
        <w:tc>
          <w:tcPr>
            <w:tcW w:w="17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2104"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48" w:hRule="atLeast"/>
          <w:jc w:val="center"/>
        </w:trPr>
        <w:tc>
          <w:tcPr>
            <w:tcW w:w="90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信息内容</w:t>
            </w:r>
          </w:p>
        </w:tc>
        <w:tc>
          <w:tcPr>
            <w:tcW w:w="5765"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lang w:val="en-US" w:eastAsia="zh-CN"/>
              </w:rPr>
              <w:t>本</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处理决定</w:t>
            </w: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行政许可</w:t>
            </w:r>
          </w:p>
        </w:tc>
        <w:tc>
          <w:tcPr>
            <w:tcW w:w="576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48" w:hRule="atLeast"/>
          <w:jc w:val="center"/>
        </w:trPr>
        <w:tc>
          <w:tcPr>
            <w:tcW w:w="90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信息内容</w:t>
            </w:r>
          </w:p>
        </w:tc>
        <w:tc>
          <w:tcPr>
            <w:tcW w:w="5765"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lang w:val="en-US" w:eastAsia="zh-CN"/>
              </w:rPr>
              <w:t>本</w:t>
            </w:r>
            <w:r>
              <w:rPr>
                <w:rFonts w:hint="eastAsia" w:ascii="宋体" w:hAnsi="宋体" w:cs="宋体"/>
                <w:color w:val="000000"/>
                <w:kern w:val="0"/>
                <w:sz w:val="20"/>
                <w:szCs w:val="20"/>
              </w:rPr>
              <w:t>年</w:t>
            </w:r>
            <w:r>
              <w:rPr>
                <w:rFonts w:hint="eastAsia" w:ascii="宋体" w:hAnsi="宋体" w:cs="宋体"/>
                <w:color w:val="000000"/>
                <w:kern w:val="0"/>
                <w:sz w:val="20"/>
                <w:szCs w:val="20"/>
                <w:lang w:val="en-US" w:eastAsia="zh-CN"/>
              </w:rPr>
              <w:t>处理决定</w:t>
            </w:r>
            <w:r>
              <w:rPr>
                <w:rFonts w:hint="eastAsia" w:ascii="宋体" w:hAnsi="宋体" w:cs="宋体"/>
                <w:color w:val="000000"/>
                <w:kern w:val="0"/>
                <w:sz w:val="20"/>
                <w:szCs w:val="20"/>
              </w:rPr>
              <w:t>数量</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行政处罚</w:t>
            </w:r>
          </w:p>
        </w:tc>
        <w:tc>
          <w:tcPr>
            <w:tcW w:w="5765"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行政强制</w:t>
            </w:r>
          </w:p>
        </w:tc>
        <w:tc>
          <w:tcPr>
            <w:tcW w:w="576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CellMar>
            <w:top w:w="0" w:type="dxa"/>
            <w:left w:w="108" w:type="dxa"/>
            <w:bottom w:w="0" w:type="dxa"/>
            <w:right w:w="108" w:type="dxa"/>
          </w:tblCellMar>
        </w:tblPrEx>
        <w:trPr>
          <w:trHeight w:val="448" w:hRule="atLeast"/>
          <w:jc w:val="center"/>
        </w:trPr>
        <w:tc>
          <w:tcPr>
            <w:tcW w:w="9040"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448" w:hRule="atLeast"/>
          <w:jc w:val="center"/>
        </w:trPr>
        <w:tc>
          <w:tcPr>
            <w:tcW w:w="32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信息内容</w:t>
            </w:r>
          </w:p>
        </w:tc>
        <w:tc>
          <w:tcPr>
            <w:tcW w:w="5765" w:type="dxa"/>
            <w:gridSpan w:val="3"/>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本年</w:t>
            </w:r>
            <w:r>
              <w:rPr>
                <w:rFonts w:hint="eastAsia" w:ascii="宋体" w:hAnsi="宋体" w:cs="宋体"/>
                <w:color w:val="000000"/>
                <w:kern w:val="0"/>
                <w:sz w:val="20"/>
                <w:szCs w:val="20"/>
                <w:lang w:val="en-US" w:eastAsia="zh-CN"/>
              </w:rPr>
              <w:t>收费金额（单位：万元）</w:t>
            </w:r>
          </w:p>
        </w:tc>
      </w:tr>
      <w:tr>
        <w:tblPrEx>
          <w:tblCellMar>
            <w:top w:w="0" w:type="dxa"/>
            <w:left w:w="108" w:type="dxa"/>
            <w:bottom w:w="0" w:type="dxa"/>
            <w:right w:w="108" w:type="dxa"/>
          </w:tblCellMar>
        </w:tblPrEx>
        <w:trPr>
          <w:trHeight w:val="491" w:hRule="atLeast"/>
          <w:jc w:val="center"/>
        </w:trPr>
        <w:tc>
          <w:tcPr>
            <w:tcW w:w="3275"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r>
              <w:rPr>
                <w:rFonts w:hint="eastAsia" w:ascii="宋体" w:hAnsi="宋体" w:cs="宋体"/>
                <w:color w:val="000000"/>
                <w:kern w:val="0"/>
                <w:sz w:val="20"/>
                <w:szCs w:val="20"/>
              </w:rPr>
              <w:t>行政事业性收费</w:t>
            </w:r>
          </w:p>
        </w:tc>
        <w:tc>
          <w:tcPr>
            <w:tcW w:w="5765" w:type="dxa"/>
            <w:gridSpan w:val="3"/>
            <w:tcBorders>
              <w:top w:val="nil"/>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ind w:firstLine="480"/>
        <w:textAlignment w:val="auto"/>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三、收到和处理</w:t>
      </w:r>
      <w:bookmarkStart w:id="0" w:name="_GoBack"/>
      <w:bookmarkEnd w:id="0"/>
      <w:r>
        <w:rPr>
          <w:rFonts w:hint="eastAsia" w:ascii="黑体" w:hAnsi="黑体" w:eastAsia="黑体" w:cs="黑体"/>
          <w:b w:val="0"/>
          <w:bCs w:val="0"/>
          <w:kern w:val="0"/>
          <w:sz w:val="28"/>
          <w:szCs w:val="28"/>
        </w:rPr>
        <w:t>政府信息公开申请情况</w:t>
      </w:r>
    </w:p>
    <w:tbl>
      <w:tblPr>
        <w:tblStyle w:val="5"/>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20"/>
        <w:gridCol w:w="2985"/>
        <w:gridCol w:w="562"/>
        <w:gridCol w:w="713"/>
        <w:gridCol w:w="703"/>
        <w:gridCol w:w="876"/>
        <w:gridCol w:w="896"/>
        <w:gridCol w:w="476"/>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02" w:type="dxa"/>
            <w:gridSpan w:val="3"/>
            <w:vMerge w:val="restart"/>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（本列数据的勾稽关系为：第一项加第二项之和，等于第三项加第四项之和）</w:t>
            </w:r>
          </w:p>
        </w:tc>
        <w:tc>
          <w:tcPr>
            <w:tcW w:w="4937" w:type="dxa"/>
            <w:gridSpan w:val="7"/>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02" w:type="dxa"/>
            <w:gridSpan w:val="3"/>
            <w:vMerge w:val="continue"/>
            <w:noWrap w:val="0"/>
            <w:vAlign w:val="center"/>
          </w:tcPr>
          <w:p>
            <w:pPr>
              <w:widowControl/>
              <w:jc w:val="left"/>
              <w:rPr>
                <w:rFonts w:ascii="宋体" w:cs="Times New Roman"/>
                <w:kern w:val="0"/>
                <w:sz w:val="24"/>
                <w:szCs w:val="24"/>
              </w:rPr>
            </w:pPr>
          </w:p>
        </w:tc>
        <w:tc>
          <w:tcPr>
            <w:tcW w:w="562" w:type="dxa"/>
            <w:vMerge w:val="restart"/>
            <w:tcBorders>
              <w:top w:val="nil"/>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自然人</w:t>
            </w:r>
          </w:p>
        </w:tc>
        <w:tc>
          <w:tcPr>
            <w:tcW w:w="3664" w:type="dxa"/>
            <w:gridSpan w:val="5"/>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法人或其他组织</w:t>
            </w:r>
          </w:p>
        </w:tc>
        <w:tc>
          <w:tcPr>
            <w:tcW w:w="711" w:type="dxa"/>
            <w:vMerge w:val="restart"/>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202" w:type="dxa"/>
            <w:gridSpan w:val="3"/>
            <w:vMerge w:val="continue"/>
            <w:noWrap w:val="0"/>
            <w:vAlign w:val="center"/>
          </w:tcPr>
          <w:p>
            <w:pPr>
              <w:widowControl/>
              <w:jc w:val="left"/>
              <w:rPr>
                <w:rFonts w:ascii="宋体" w:cs="Times New Roman"/>
                <w:kern w:val="0"/>
                <w:sz w:val="24"/>
                <w:szCs w:val="24"/>
              </w:rPr>
            </w:pPr>
          </w:p>
        </w:tc>
        <w:tc>
          <w:tcPr>
            <w:tcW w:w="562" w:type="dxa"/>
            <w:vMerge w:val="continue"/>
            <w:tcBorders>
              <w:top w:val="nil"/>
              <w:left w:val="nil"/>
            </w:tcBorders>
            <w:noWrap w:val="0"/>
            <w:vAlign w:val="center"/>
          </w:tcPr>
          <w:p>
            <w:pPr>
              <w:widowControl/>
              <w:jc w:val="left"/>
              <w:rPr>
                <w:rFonts w:ascii="宋体" w:cs="Times New Roman"/>
                <w:kern w:val="0"/>
                <w:sz w:val="24"/>
                <w:szCs w:val="24"/>
              </w:rPr>
            </w:pPr>
          </w:p>
        </w:tc>
        <w:tc>
          <w:tcPr>
            <w:tcW w:w="713"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商业企业</w:t>
            </w:r>
          </w:p>
        </w:tc>
        <w:tc>
          <w:tcPr>
            <w:tcW w:w="703"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科研机构</w:t>
            </w:r>
          </w:p>
        </w:tc>
        <w:tc>
          <w:tcPr>
            <w:tcW w:w="876"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社会公益组织</w:t>
            </w:r>
          </w:p>
        </w:tc>
        <w:tc>
          <w:tcPr>
            <w:tcW w:w="896"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法律服务机构</w:t>
            </w:r>
          </w:p>
        </w:tc>
        <w:tc>
          <w:tcPr>
            <w:tcW w:w="476" w:type="dxa"/>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其他</w:t>
            </w:r>
          </w:p>
        </w:tc>
        <w:tc>
          <w:tcPr>
            <w:tcW w:w="711" w:type="dxa"/>
            <w:vMerge w:val="continue"/>
            <w:tcBorders>
              <w:left w:val="nil"/>
            </w:tcBorders>
            <w:noWrap w:val="0"/>
            <w:vAlign w:val="center"/>
          </w:tcPr>
          <w:p>
            <w:pPr>
              <w:widowControl/>
              <w:jc w:val="left"/>
              <w:rPr>
                <w:rFonts w:ascii="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02"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一、本年新收政府信息公开申请数量</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202"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二、上年结转政府信息公开申请数量</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restart"/>
            <w:tcBorders>
              <w:top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三、本年度办理结果</w:t>
            </w:r>
          </w:p>
        </w:tc>
        <w:tc>
          <w:tcPr>
            <w:tcW w:w="3705" w:type="dxa"/>
            <w:gridSpan w:val="2"/>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hint="eastAsia" w:ascii="楷体" w:hAnsi="楷体" w:eastAsia="楷体" w:cs="楷体"/>
                <w:sz w:val="20"/>
                <w:szCs w:val="20"/>
              </w:rPr>
              <w:t>（一）予以公开</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3705" w:type="dxa"/>
            <w:gridSpan w:val="2"/>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hint="eastAsia" w:ascii="楷体" w:hAnsi="楷体" w:eastAsia="楷体" w:cs="楷体"/>
                <w:sz w:val="20"/>
                <w:szCs w:val="20"/>
              </w:rPr>
              <w:t>（二）部分公开（区分处理的，只计这一情形，不计其他情形）</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restart"/>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ascii="宋体" w:cs="Times New Roman"/>
                <w:kern w:val="0"/>
                <w:sz w:val="24"/>
                <w:szCs w:val="24"/>
              </w:rPr>
            </w:pPr>
            <w:r>
              <w:rPr>
                <w:rFonts w:hint="eastAsia" w:ascii="楷体" w:hAnsi="楷体" w:eastAsia="楷体" w:cs="楷体"/>
                <w:sz w:val="20"/>
                <w:szCs w:val="20"/>
                <w:lang w:val="en-US" w:eastAsia="zh-CN"/>
              </w:rPr>
              <w:t>(</w:t>
            </w:r>
            <w:r>
              <w:rPr>
                <w:rFonts w:hint="eastAsia" w:ascii="楷体" w:hAnsi="楷体" w:eastAsia="楷体" w:cs="楷体"/>
                <w:sz w:val="20"/>
                <w:szCs w:val="20"/>
              </w:rPr>
              <w:t>三</w:t>
            </w:r>
            <w:r>
              <w:rPr>
                <w:rFonts w:hint="eastAsia" w:ascii="楷体" w:hAnsi="楷体" w:eastAsia="楷体" w:cs="楷体"/>
                <w:sz w:val="20"/>
                <w:szCs w:val="20"/>
                <w:lang w:val="en-US" w:eastAsia="zh-CN"/>
              </w:rPr>
              <w:t>)</w:t>
            </w:r>
            <w:r>
              <w:rPr>
                <w:rFonts w:hint="eastAsia" w:ascii="楷体" w:hAnsi="楷体" w:eastAsia="楷体" w:cs="楷体"/>
                <w:sz w:val="20"/>
                <w:szCs w:val="20"/>
              </w:rPr>
              <w:t>不予公开</w:t>
            </w: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属于国家秘密</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其他法律行政法规禁止公开</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危及“三安全一稳定”</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保护第三方合法权益</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属于三类内部事务信息</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6.</w:t>
            </w:r>
            <w:r>
              <w:rPr>
                <w:rFonts w:hint="eastAsia" w:ascii="楷体" w:hAnsi="楷体" w:eastAsia="楷体" w:cs="楷体"/>
                <w:sz w:val="20"/>
                <w:szCs w:val="20"/>
              </w:rPr>
              <w:t>属于四类过程性信息</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7.</w:t>
            </w:r>
            <w:r>
              <w:rPr>
                <w:rFonts w:hint="eastAsia" w:ascii="楷体" w:hAnsi="楷体" w:eastAsia="楷体" w:cs="楷体"/>
                <w:sz w:val="20"/>
                <w:szCs w:val="20"/>
              </w:rPr>
              <w:t>属于行政执法案卷</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8.</w:t>
            </w:r>
            <w:r>
              <w:rPr>
                <w:rFonts w:hint="eastAsia" w:ascii="楷体" w:hAnsi="楷体" w:eastAsia="楷体" w:cs="楷体"/>
                <w:sz w:val="20"/>
                <w:szCs w:val="20"/>
              </w:rPr>
              <w:t>属于行政查询事项</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restart"/>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ascii="宋体" w:cs="Times New Roman"/>
                <w:kern w:val="0"/>
                <w:sz w:val="24"/>
                <w:szCs w:val="24"/>
              </w:rPr>
            </w:pPr>
            <w:r>
              <w:rPr>
                <w:rFonts w:hint="eastAsia" w:ascii="楷体" w:hAnsi="楷体" w:eastAsia="楷体" w:cs="楷体"/>
                <w:sz w:val="20"/>
                <w:szCs w:val="20"/>
                <w:lang w:val="en-US" w:eastAsia="zh-CN"/>
              </w:rPr>
              <w:t>(</w:t>
            </w:r>
            <w:r>
              <w:rPr>
                <w:rFonts w:hint="eastAsia" w:ascii="楷体" w:hAnsi="楷体" w:eastAsia="楷体" w:cs="楷体"/>
                <w:sz w:val="20"/>
                <w:szCs w:val="20"/>
              </w:rPr>
              <w:t>四</w:t>
            </w:r>
            <w:r>
              <w:rPr>
                <w:rFonts w:hint="eastAsia" w:ascii="楷体" w:hAnsi="楷体" w:eastAsia="楷体" w:cs="楷体"/>
                <w:sz w:val="20"/>
                <w:szCs w:val="20"/>
                <w:lang w:val="en-US" w:eastAsia="zh-CN"/>
              </w:rPr>
              <w:t>)</w:t>
            </w:r>
            <w:r>
              <w:rPr>
                <w:rFonts w:hint="eastAsia" w:ascii="楷体" w:hAnsi="楷体" w:eastAsia="楷体" w:cs="楷体"/>
                <w:sz w:val="20"/>
                <w:szCs w:val="20"/>
              </w:rPr>
              <w:t>无法提供</w:t>
            </w: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本机关不掌握相关政府信息</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没有现成信息需要另行制作</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补正后申请内容仍不明确</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restart"/>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center"/>
              <w:textAlignment w:val="auto"/>
              <w:rPr>
                <w:rFonts w:ascii="宋体" w:cs="Times New Roman"/>
                <w:kern w:val="0"/>
                <w:sz w:val="24"/>
                <w:szCs w:val="24"/>
              </w:rPr>
            </w:pPr>
            <w:r>
              <w:rPr>
                <w:rFonts w:hint="eastAsia" w:ascii="楷体" w:hAnsi="楷体" w:eastAsia="楷体" w:cs="楷体"/>
                <w:sz w:val="20"/>
                <w:szCs w:val="20"/>
                <w:lang w:val="en-US" w:eastAsia="zh-CN"/>
              </w:rPr>
              <w:t>(</w:t>
            </w:r>
            <w:r>
              <w:rPr>
                <w:rFonts w:hint="eastAsia" w:ascii="楷体" w:hAnsi="楷体" w:eastAsia="楷体" w:cs="楷体"/>
                <w:sz w:val="20"/>
                <w:szCs w:val="20"/>
              </w:rPr>
              <w:t>五</w:t>
            </w:r>
            <w:r>
              <w:rPr>
                <w:rFonts w:hint="eastAsia" w:ascii="楷体" w:hAnsi="楷体" w:eastAsia="楷体" w:cs="楷体"/>
                <w:sz w:val="20"/>
                <w:szCs w:val="20"/>
                <w:lang w:val="en-US" w:eastAsia="zh-CN"/>
              </w:rPr>
              <w:t>)</w:t>
            </w:r>
            <w:r>
              <w:rPr>
                <w:rFonts w:hint="eastAsia" w:ascii="楷体" w:hAnsi="楷体" w:eastAsia="楷体" w:cs="楷体"/>
                <w:sz w:val="20"/>
                <w:szCs w:val="20"/>
              </w:rPr>
              <w:t>不予处理</w:t>
            </w: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1.</w:t>
            </w:r>
            <w:r>
              <w:rPr>
                <w:rFonts w:hint="eastAsia" w:ascii="楷体" w:hAnsi="楷体" w:eastAsia="楷体" w:cs="楷体"/>
                <w:sz w:val="20"/>
                <w:szCs w:val="20"/>
              </w:rPr>
              <w:t>信访举报投诉类申请</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2.</w:t>
            </w:r>
            <w:r>
              <w:rPr>
                <w:rFonts w:hint="eastAsia" w:ascii="楷体" w:hAnsi="楷体" w:eastAsia="楷体" w:cs="楷体"/>
                <w:sz w:val="20"/>
                <w:szCs w:val="20"/>
              </w:rPr>
              <w:t>重复申请</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3.</w:t>
            </w:r>
            <w:r>
              <w:rPr>
                <w:rFonts w:hint="eastAsia" w:ascii="楷体" w:hAnsi="楷体" w:eastAsia="楷体" w:cs="楷体"/>
                <w:sz w:val="20"/>
                <w:szCs w:val="20"/>
              </w:rPr>
              <w:t>要求提供公开出版物</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4.</w:t>
            </w:r>
            <w:r>
              <w:rPr>
                <w:rFonts w:hint="eastAsia" w:ascii="楷体" w:hAnsi="楷体" w:eastAsia="楷体" w:cs="楷体"/>
                <w:sz w:val="20"/>
                <w:szCs w:val="20"/>
              </w:rPr>
              <w:t>无正当理由大量反复申请</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ascii="楷体" w:hAnsi="楷体" w:eastAsia="楷体" w:cs="楷体"/>
                <w:sz w:val="20"/>
                <w:szCs w:val="20"/>
              </w:rPr>
              <w:t>5.</w:t>
            </w:r>
            <w:r>
              <w:rPr>
                <w:rFonts w:hint="eastAsia" w:ascii="楷体" w:hAnsi="楷体" w:eastAsia="楷体" w:cs="楷体"/>
                <w:sz w:val="20"/>
                <w:szCs w:val="20"/>
              </w:rPr>
              <w:t>要求行政机关确认或重新出具已获取信息</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restar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ascii="宋体" w:cs="Times New Roman"/>
                <w:kern w:val="0"/>
                <w:sz w:val="24"/>
                <w:szCs w:val="24"/>
              </w:rPr>
            </w:pPr>
            <w:r>
              <w:rPr>
                <w:rFonts w:hint="eastAsia" w:ascii="楷体" w:hAnsi="楷体" w:eastAsia="楷体" w:cs="楷体"/>
                <w:sz w:val="20"/>
                <w:szCs w:val="20"/>
                <w:lang w:val="en-US" w:eastAsia="zh-CN"/>
              </w:rPr>
              <w:t>(</w:t>
            </w:r>
            <w:r>
              <w:rPr>
                <w:rFonts w:hint="eastAsia" w:ascii="楷体" w:hAnsi="楷体" w:eastAsia="楷体" w:cs="楷体"/>
                <w:sz w:val="20"/>
                <w:szCs w:val="20"/>
              </w:rPr>
              <w:t>六</w:t>
            </w:r>
            <w:r>
              <w:rPr>
                <w:rFonts w:hint="eastAsia" w:ascii="楷体" w:hAnsi="楷体" w:eastAsia="楷体" w:cs="楷体"/>
                <w:sz w:val="20"/>
                <w:szCs w:val="20"/>
                <w:lang w:val="en-US" w:eastAsia="zh-CN"/>
              </w:rPr>
              <w:t>)</w:t>
            </w:r>
            <w:r>
              <w:rPr>
                <w:rFonts w:hint="eastAsia" w:ascii="楷体" w:hAnsi="楷体" w:eastAsia="楷体" w:cs="楷体"/>
                <w:sz w:val="20"/>
                <w:szCs w:val="20"/>
              </w:rPr>
              <w:t>其他处理</w:t>
            </w: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1.申请人无正当理由逾期不补正、行政机关不在处理其政府信息公开申请</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eastAsia" w:ascii="楷体" w:hAnsi="楷体" w:eastAsia="楷体" w:cs="楷体"/>
                <w:sz w:val="20"/>
                <w:szCs w:val="20"/>
              </w:rPr>
            </w:pPr>
          </w:p>
        </w:tc>
        <w:tc>
          <w:tcPr>
            <w:tcW w:w="2985"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80" w:lineRule="exact"/>
              <w:jc w:val="left"/>
              <w:textAlignment w:val="auto"/>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2.申请人逾期未按照收费通知要求缴纳费用、行政机关不再处理其政府信息公开申请</w:t>
            </w:r>
          </w:p>
        </w:tc>
        <w:tc>
          <w:tcPr>
            <w:tcW w:w="562" w:type="dxa"/>
            <w:tcBorders>
              <w:left w:val="nil"/>
            </w:tcBorders>
            <w:noWrap w:val="0"/>
            <w:vAlign w:val="center"/>
          </w:tcPr>
          <w:p>
            <w:pPr>
              <w:widowControl/>
              <w:spacing w:before="100" w:beforeAutospacing="1" w:after="100" w:afterAutospacing="1"/>
              <w:jc w:val="center"/>
              <w:rPr>
                <w:rFonts w:hint="eastAsia" w:cs="Times New Roman" w:eastAsiaTheme="minorEastAsia"/>
                <w:sz w:val="20"/>
                <w:szCs w:val="20"/>
                <w:lang w:val="en-US" w:eastAsia="zh-CN"/>
              </w:rPr>
            </w:pPr>
            <w:r>
              <w:rPr>
                <w:rFonts w:hint="eastAsia" w:cs="Times New Roman"/>
                <w:sz w:val="20"/>
                <w:szCs w:val="20"/>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cs="Times New Roman" w:eastAsiaTheme="minorEastAsia"/>
                <w:sz w:val="20"/>
                <w:szCs w:val="20"/>
                <w:lang w:val="en-US" w:eastAsia="zh-CN"/>
              </w:rPr>
            </w:pPr>
            <w:r>
              <w:rPr>
                <w:rFonts w:hint="eastAsia" w:cs="Times New Roman"/>
                <w:sz w:val="20"/>
                <w:szCs w:val="20"/>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720" w:type="dxa"/>
            <w:vMerge w:val="continue"/>
            <w:tcBorders>
              <w:left w:val="nil"/>
            </w:tcBorders>
            <w:noWrap w:val="0"/>
            <w:vAlign w:val="center"/>
          </w:tcPr>
          <w:p>
            <w:pPr>
              <w:widowControl/>
              <w:spacing w:before="100" w:beforeAutospacing="1" w:after="100" w:afterAutospacing="1"/>
              <w:jc w:val="left"/>
              <w:rPr>
                <w:rFonts w:hint="eastAsia" w:ascii="楷体" w:hAnsi="楷体" w:eastAsia="楷体" w:cs="楷体"/>
                <w:sz w:val="20"/>
                <w:szCs w:val="20"/>
              </w:rPr>
            </w:pPr>
          </w:p>
        </w:tc>
        <w:tc>
          <w:tcPr>
            <w:tcW w:w="2985" w:type="dxa"/>
            <w:tcBorders>
              <w:left w:val="nil"/>
            </w:tcBorders>
            <w:noWrap w:val="0"/>
            <w:vAlign w:val="center"/>
          </w:tcPr>
          <w:p>
            <w:pPr>
              <w:widowControl/>
              <w:spacing w:before="100" w:beforeAutospacing="1" w:after="100" w:afterAutospacing="1"/>
              <w:jc w:val="left"/>
              <w:rPr>
                <w:rFonts w:hint="default" w:ascii="楷体" w:hAnsi="楷体" w:eastAsia="楷体" w:cs="楷体"/>
                <w:sz w:val="20"/>
                <w:szCs w:val="20"/>
                <w:lang w:val="en-US" w:eastAsia="zh-CN"/>
              </w:rPr>
            </w:pPr>
            <w:r>
              <w:rPr>
                <w:rFonts w:hint="eastAsia" w:ascii="楷体" w:hAnsi="楷体" w:eastAsia="楷体" w:cs="楷体"/>
                <w:sz w:val="20"/>
                <w:szCs w:val="20"/>
                <w:lang w:val="en-US" w:eastAsia="zh-CN"/>
              </w:rPr>
              <w:t>3.其他</w:t>
            </w:r>
          </w:p>
        </w:tc>
        <w:tc>
          <w:tcPr>
            <w:tcW w:w="562" w:type="dxa"/>
            <w:tcBorders>
              <w:left w:val="nil"/>
            </w:tcBorders>
            <w:noWrap w:val="0"/>
            <w:vAlign w:val="center"/>
          </w:tcPr>
          <w:p>
            <w:pPr>
              <w:widowControl/>
              <w:spacing w:before="100" w:beforeAutospacing="1" w:after="100" w:afterAutospacing="1"/>
              <w:jc w:val="center"/>
              <w:rPr>
                <w:rFonts w:hint="eastAsia" w:cs="Times New Roman" w:eastAsiaTheme="minorEastAsia"/>
                <w:sz w:val="20"/>
                <w:szCs w:val="20"/>
                <w:lang w:val="en-US" w:eastAsia="zh-CN"/>
              </w:rPr>
            </w:pPr>
            <w:r>
              <w:rPr>
                <w:rFonts w:hint="eastAsia" w:cs="Times New Roman"/>
                <w:sz w:val="20"/>
                <w:szCs w:val="20"/>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cs="Times New Roman" w:eastAsiaTheme="minorEastAsia"/>
                <w:sz w:val="20"/>
                <w:szCs w:val="20"/>
                <w:lang w:val="en-US" w:eastAsia="zh-CN"/>
              </w:rPr>
            </w:pPr>
            <w:r>
              <w:rPr>
                <w:rFonts w:hint="eastAsia" w:cs="Times New Roman"/>
                <w:sz w:val="20"/>
                <w:szCs w:val="20"/>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7" w:type="dxa"/>
            <w:vMerge w:val="continue"/>
            <w:tcBorders>
              <w:top w:val="nil"/>
            </w:tcBorders>
            <w:noWrap w:val="0"/>
            <w:vAlign w:val="center"/>
          </w:tcPr>
          <w:p>
            <w:pPr>
              <w:widowControl/>
              <w:jc w:val="left"/>
              <w:rPr>
                <w:rFonts w:ascii="宋体" w:cs="Times New Roman"/>
                <w:kern w:val="0"/>
                <w:sz w:val="24"/>
                <w:szCs w:val="24"/>
              </w:rPr>
            </w:pPr>
          </w:p>
        </w:tc>
        <w:tc>
          <w:tcPr>
            <w:tcW w:w="3705" w:type="dxa"/>
            <w:gridSpan w:val="2"/>
            <w:tcBorders>
              <w:left w:val="nil"/>
            </w:tcBorders>
            <w:noWrap w:val="0"/>
            <w:vAlign w:val="center"/>
          </w:tcPr>
          <w:p>
            <w:pPr>
              <w:widowControl/>
              <w:spacing w:before="100" w:beforeAutospacing="1" w:after="100" w:afterAutospacing="1"/>
              <w:jc w:val="left"/>
              <w:rPr>
                <w:rFonts w:ascii="宋体" w:cs="Times New Roman"/>
                <w:kern w:val="0"/>
                <w:sz w:val="24"/>
                <w:szCs w:val="24"/>
              </w:rPr>
            </w:pPr>
            <w:r>
              <w:rPr>
                <w:rFonts w:hint="eastAsia" w:ascii="楷体" w:hAnsi="楷体" w:eastAsia="楷体" w:cs="楷体"/>
                <w:sz w:val="20"/>
                <w:szCs w:val="20"/>
              </w:rPr>
              <w:t>（七）总计</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202" w:type="dxa"/>
            <w:gridSpan w:val="3"/>
            <w:noWrap w:val="0"/>
            <w:vAlign w:val="center"/>
          </w:tcPr>
          <w:p>
            <w:pPr>
              <w:widowControl/>
              <w:spacing w:before="100" w:beforeAutospacing="1" w:after="100" w:afterAutospacing="1"/>
              <w:jc w:val="left"/>
              <w:rPr>
                <w:rFonts w:ascii="宋体" w:cs="Times New Roman"/>
                <w:kern w:val="0"/>
                <w:sz w:val="24"/>
                <w:szCs w:val="24"/>
              </w:rPr>
            </w:pPr>
            <w:r>
              <w:rPr>
                <w:rFonts w:hint="eastAsia" w:cs="宋体"/>
                <w:sz w:val="20"/>
                <w:szCs w:val="20"/>
              </w:rPr>
              <w:t>四、结转下年度继续办理</w:t>
            </w:r>
          </w:p>
        </w:tc>
        <w:tc>
          <w:tcPr>
            <w:tcW w:w="56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1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703"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89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476"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c>
          <w:tcPr>
            <w:tcW w:w="711" w:type="dxa"/>
            <w:tcBorders>
              <w:left w:val="nil"/>
            </w:tcBorders>
            <w:noWrap w:val="0"/>
            <w:vAlign w:val="center"/>
          </w:tcPr>
          <w:p>
            <w:pPr>
              <w:widowControl/>
              <w:spacing w:before="100" w:beforeAutospacing="1" w:after="100" w:afterAutospacing="1"/>
              <w:jc w:val="center"/>
              <w:rPr>
                <w:rFonts w:hint="eastAsia" w:ascii="宋体" w:cs="Times New Roman" w:hAnsiTheme="minorHAnsi" w:eastAsiaTheme="minorEastAsia"/>
                <w:kern w:val="0"/>
                <w:sz w:val="24"/>
                <w:szCs w:val="24"/>
                <w:lang w:val="en-US" w:eastAsia="zh-CN" w:bidi="ar-SA"/>
              </w:rPr>
            </w:pPr>
            <w:r>
              <w:rPr>
                <w:rFonts w:hint="eastAsia" w:ascii="宋体" w:cs="Times New Roman"/>
                <w:kern w:val="0"/>
                <w:sz w:val="24"/>
                <w:szCs w:val="24"/>
                <w:lang w:val="en-US" w:eastAsia="zh-CN"/>
              </w:rPr>
              <w:t>0</w:t>
            </w:r>
          </w:p>
        </w:tc>
      </w:tr>
    </w:tbl>
    <w:p>
      <w:pPr>
        <w:widowControl/>
        <w:ind w:firstLine="480"/>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四、政府信息公开行政复议、行政诉讼情况</w:t>
      </w:r>
    </w:p>
    <w:tbl>
      <w:tblPr>
        <w:tblStyle w:val="5"/>
        <w:tblW w:w="8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591"/>
        <w:gridCol w:w="591"/>
        <w:gridCol w:w="591"/>
        <w:gridCol w:w="645"/>
        <w:gridCol w:w="538"/>
        <w:gridCol w:w="592"/>
        <w:gridCol w:w="592"/>
        <w:gridCol w:w="592"/>
        <w:gridCol w:w="593"/>
        <w:gridCol w:w="592"/>
        <w:gridCol w:w="592"/>
        <w:gridCol w:w="592"/>
        <w:gridCol w:w="593"/>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009" w:type="dxa"/>
            <w:gridSpan w:val="5"/>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行政复议</w:t>
            </w:r>
          </w:p>
        </w:tc>
        <w:tc>
          <w:tcPr>
            <w:tcW w:w="5870" w:type="dxa"/>
            <w:gridSpan w:val="10"/>
            <w:tcBorders>
              <w:left w:val="nil"/>
            </w:tcBorders>
            <w:noWrap w:val="0"/>
            <w:vAlign w:val="center"/>
          </w:tcPr>
          <w:p>
            <w:pPr>
              <w:widowControl/>
              <w:spacing w:before="100" w:beforeAutospacing="1" w:after="100" w:afterAutospacing="1"/>
              <w:jc w:val="center"/>
              <w:rPr>
                <w:rFonts w:ascii="宋体" w:cs="Times New Roman"/>
                <w:kern w:val="0"/>
                <w:sz w:val="24"/>
                <w:szCs w:val="24"/>
              </w:rPr>
            </w:pPr>
            <w:r>
              <w:rPr>
                <w:rFonts w:hint="eastAsia" w:cs="宋体"/>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91" w:type="dxa"/>
            <w:vMerge w:val="restart"/>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结果维持</w:t>
            </w:r>
          </w:p>
        </w:tc>
        <w:tc>
          <w:tcPr>
            <w:tcW w:w="591" w:type="dxa"/>
            <w:vMerge w:val="restart"/>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结果纠正</w:t>
            </w:r>
          </w:p>
        </w:tc>
        <w:tc>
          <w:tcPr>
            <w:tcW w:w="591" w:type="dxa"/>
            <w:vMerge w:val="restar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其他结果</w:t>
            </w:r>
          </w:p>
        </w:tc>
        <w:tc>
          <w:tcPr>
            <w:tcW w:w="591" w:type="dxa"/>
            <w:vMerge w:val="restar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尚未审结</w:t>
            </w:r>
          </w:p>
        </w:tc>
        <w:tc>
          <w:tcPr>
            <w:tcW w:w="645" w:type="dxa"/>
            <w:vMerge w:val="restart"/>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总计</w:t>
            </w:r>
          </w:p>
        </w:tc>
        <w:tc>
          <w:tcPr>
            <w:tcW w:w="2907" w:type="dxa"/>
            <w:gridSpan w:val="5"/>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未经复议直接起诉</w:t>
            </w:r>
          </w:p>
        </w:tc>
        <w:tc>
          <w:tcPr>
            <w:tcW w:w="2963" w:type="dxa"/>
            <w:gridSpan w:val="5"/>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591"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p>
        </w:tc>
        <w:tc>
          <w:tcPr>
            <w:tcW w:w="591" w:type="dxa"/>
            <w:vMerge w:val="continue"/>
            <w:tcBorders>
              <w:top w:val="nil"/>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p>
        </w:tc>
        <w:tc>
          <w:tcPr>
            <w:tcW w:w="591" w:type="dxa"/>
            <w:vMerge w:val="continue"/>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p>
        </w:tc>
        <w:tc>
          <w:tcPr>
            <w:tcW w:w="591" w:type="dxa"/>
            <w:vMerge w:val="continue"/>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p>
        </w:tc>
        <w:tc>
          <w:tcPr>
            <w:tcW w:w="645" w:type="dxa"/>
            <w:vMerge w:val="continue"/>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left"/>
              <w:textAlignment w:val="auto"/>
              <w:rPr>
                <w:rFonts w:ascii="宋体" w:cs="Times New Roman"/>
                <w:kern w:val="0"/>
                <w:sz w:val="24"/>
                <w:szCs w:val="24"/>
              </w:rPr>
            </w:pPr>
          </w:p>
        </w:tc>
        <w:tc>
          <w:tcPr>
            <w:tcW w:w="538"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结果维持</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结果纠正</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其他结果</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尚未审结</w:t>
            </w:r>
          </w:p>
        </w:tc>
        <w:tc>
          <w:tcPr>
            <w:tcW w:w="593"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总计</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结果维持</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结果纠正</w:t>
            </w:r>
          </w:p>
        </w:tc>
        <w:tc>
          <w:tcPr>
            <w:tcW w:w="592"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其他结果</w:t>
            </w:r>
          </w:p>
        </w:tc>
        <w:tc>
          <w:tcPr>
            <w:tcW w:w="593"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cs="宋体"/>
                <w:sz w:val="20"/>
                <w:szCs w:val="20"/>
              </w:rPr>
              <w:t>尚未审结</w:t>
            </w:r>
          </w:p>
        </w:tc>
        <w:tc>
          <w:tcPr>
            <w:tcW w:w="594" w:type="dxa"/>
            <w:tcBorders>
              <w:lef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260" w:lineRule="exact"/>
              <w:jc w:val="center"/>
              <w:textAlignment w:val="auto"/>
              <w:rPr>
                <w:rFonts w:ascii="宋体" w:cs="Times New Roman"/>
                <w:kern w:val="0"/>
                <w:sz w:val="24"/>
                <w:szCs w:val="24"/>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91" w:type="dxa"/>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1"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645"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38"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2"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3" w:type="dxa"/>
            <w:tcBorders>
              <w:left w:val="nil"/>
            </w:tcBorders>
            <w:noWrap w:val="0"/>
            <w:vAlign w:val="center"/>
          </w:tcPr>
          <w:p>
            <w:pPr>
              <w:widowControl/>
              <w:spacing w:before="100" w:beforeAutospacing="1" w:after="100" w:afterAutospacing="1"/>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c>
          <w:tcPr>
            <w:tcW w:w="594" w:type="dxa"/>
            <w:tcBorders>
              <w:left w:val="nil"/>
            </w:tcBorders>
            <w:noWrap w:val="0"/>
            <w:vAlign w:val="center"/>
          </w:tcPr>
          <w:p>
            <w:pPr>
              <w:widowControl/>
              <w:jc w:val="center"/>
              <w:rPr>
                <w:rFonts w:hint="eastAsia" w:ascii="宋体" w:cs="Times New Roman" w:eastAsiaTheme="minorEastAsia"/>
                <w:kern w:val="0"/>
                <w:sz w:val="24"/>
                <w:szCs w:val="24"/>
                <w:lang w:val="en-US" w:eastAsia="zh-CN"/>
              </w:rPr>
            </w:pPr>
            <w:r>
              <w:rPr>
                <w:rFonts w:hint="eastAsia" w:ascii="宋体" w:cs="Times New Roman"/>
                <w:kern w:val="0"/>
                <w:sz w:val="24"/>
                <w:szCs w:val="24"/>
                <w:lang w:val="en-US" w:eastAsia="zh-CN"/>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right="0" w:firstLine="560" w:firstLineChars="200"/>
        <w:jc w:val="left"/>
        <w:textAlignment w:val="auto"/>
        <w:outlineLvl w:val="9"/>
        <w:rPr>
          <w:rStyle w:val="8"/>
          <w:rFonts w:hint="eastAsia" w:ascii="宋体" w:hAnsi="宋体" w:eastAsia="宋体" w:cs="宋体"/>
          <w:b/>
          <w:bCs w:val="0"/>
          <w:color w:val="auto"/>
          <w:kern w:val="0"/>
          <w:sz w:val="28"/>
          <w:szCs w:val="28"/>
          <w:lang w:val="en-US" w:eastAsia="zh-CN" w:bidi="ar"/>
        </w:rPr>
      </w:pPr>
      <w:r>
        <w:rPr>
          <w:rStyle w:val="8"/>
          <w:rFonts w:hint="eastAsia" w:ascii="黑体" w:hAnsi="黑体" w:eastAsia="黑体" w:cs="黑体"/>
          <w:b w:val="0"/>
          <w:bCs/>
          <w:color w:val="auto"/>
          <w:kern w:val="0"/>
          <w:sz w:val="28"/>
          <w:szCs w:val="28"/>
          <w:lang w:val="en-US" w:eastAsia="zh-CN" w:bidi="ar"/>
        </w:rPr>
        <w:t>五、存在的主要问题及改进情况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2" w:lineRule="exact"/>
        <w:ind w:left="0" w:right="0" w:firstLine="560" w:firstLineChars="200"/>
        <w:jc w:val="both"/>
        <w:textAlignment w:val="auto"/>
        <w:outlineLvl w:val="9"/>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2022年，县统计局政府信息公开工作取得了一定成绩，但与新时代新形势的要求相比，与县委、县政府对统计部门的希望和要求相比，仍有较大差距和不足，主要体现在信息内容不够充实，信息采编水平不高，调研分析不够深入等方面。2023年，县统计局将紧紧围绕县委、县政府的重点工作部署，学习先进，迎头赶超；进一步解放思想、转变作风、提升能力，充分运用丰富翔实的统计数据提升统计解读的深度、广度和针对性，客观反映经济社会发展态势和亮点；进一步丰富信息内容，创新公开形式，提升能力水平，以信息公开促进部门工作，当好县委、县政府的参谋助手，为社会公众提供及时、准确、高效的政府信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right="0" w:firstLine="560" w:firstLineChars="200"/>
        <w:jc w:val="left"/>
        <w:textAlignment w:val="auto"/>
        <w:outlineLvl w:val="9"/>
        <w:rPr>
          <w:rStyle w:val="8"/>
          <w:rFonts w:hint="eastAsia" w:ascii="黑体" w:hAnsi="黑体" w:eastAsia="黑体" w:cs="黑体"/>
          <w:b w:val="0"/>
          <w:bCs/>
          <w:color w:val="auto"/>
          <w:kern w:val="0"/>
          <w:sz w:val="28"/>
          <w:szCs w:val="28"/>
          <w:lang w:val="en-US" w:eastAsia="zh-CN" w:bidi="ar"/>
        </w:rPr>
      </w:pPr>
      <w:r>
        <w:rPr>
          <w:rStyle w:val="8"/>
          <w:rFonts w:hint="eastAsia" w:ascii="黑体" w:hAnsi="黑体" w:eastAsia="黑体" w:cs="黑体"/>
          <w:b w:val="0"/>
          <w:bCs/>
          <w:color w:val="auto"/>
          <w:kern w:val="0"/>
          <w:sz w:val="28"/>
          <w:szCs w:val="28"/>
          <w:lang w:val="en-US" w:eastAsia="zh-CN" w:bidi="ar"/>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2" w:lineRule="exact"/>
        <w:ind w:left="0" w:right="0" w:firstLine="560" w:firstLineChars="200"/>
        <w:jc w:val="left"/>
        <w:textAlignment w:val="auto"/>
        <w:outlineLvl w:val="9"/>
        <w:rPr>
          <w:rStyle w:val="8"/>
          <w:rFonts w:hint="eastAsia" w:ascii="宋体" w:hAnsi="宋体" w:eastAsia="宋体" w:cs="宋体"/>
          <w:b w:val="0"/>
          <w:bCs/>
          <w:color w:val="auto"/>
          <w:kern w:val="0"/>
          <w:sz w:val="28"/>
          <w:szCs w:val="28"/>
          <w:lang w:val="en-US" w:eastAsia="zh-CN" w:bidi="ar"/>
        </w:rPr>
      </w:pPr>
      <w:r>
        <w:rPr>
          <w:rStyle w:val="8"/>
          <w:rFonts w:hint="eastAsia" w:ascii="宋体" w:hAnsi="宋体" w:eastAsia="宋体" w:cs="宋体"/>
          <w:b w:val="0"/>
          <w:bCs/>
          <w:color w:val="auto"/>
          <w:kern w:val="0"/>
          <w:sz w:val="28"/>
          <w:szCs w:val="28"/>
          <w:lang w:val="en-US" w:eastAsia="zh-CN" w:bidi="ar"/>
        </w:rPr>
        <w:t>无</w:t>
      </w:r>
    </w:p>
    <w:sectPr>
      <w:footerReference r:id="rId3" w:type="default"/>
      <w:pgSz w:w="11905" w:h="16838"/>
      <w:pgMar w:top="1701" w:right="1587" w:bottom="1701" w:left="1587" w:header="851" w:footer="1134" w:gutter="0"/>
      <w:paperSrc/>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DI4OTgwMDhiNjNkY2I0MmRlZTkzNThlYjUwYjcifQ=="/>
  </w:docVars>
  <w:rsids>
    <w:rsidRoot w:val="27835E3E"/>
    <w:rsid w:val="026F22D6"/>
    <w:rsid w:val="032B66D6"/>
    <w:rsid w:val="04757F9A"/>
    <w:rsid w:val="047A002E"/>
    <w:rsid w:val="0B1570A1"/>
    <w:rsid w:val="0B4F6A5D"/>
    <w:rsid w:val="15553FD9"/>
    <w:rsid w:val="16F47617"/>
    <w:rsid w:val="17392231"/>
    <w:rsid w:val="18DC2B45"/>
    <w:rsid w:val="1ADF3B8B"/>
    <w:rsid w:val="21926F6A"/>
    <w:rsid w:val="249661B1"/>
    <w:rsid w:val="25CE30E9"/>
    <w:rsid w:val="27835E3E"/>
    <w:rsid w:val="28381D63"/>
    <w:rsid w:val="2AE35581"/>
    <w:rsid w:val="2CF6663C"/>
    <w:rsid w:val="313F5B71"/>
    <w:rsid w:val="338C3C28"/>
    <w:rsid w:val="37EA5996"/>
    <w:rsid w:val="38743D52"/>
    <w:rsid w:val="3A8F3E93"/>
    <w:rsid w:val="3EC5129D"/>
    <w:rsid w:val="40B05097"/>
    <w:rsid w:val="41C332E6"/>
    <w:rsid w:val="47B41875"/>
    <w:rsid w:val="4ADB1DD1"/>
    <w:rsid w:val="4E112D62"/>
    <w:rsid w:val="4F485805"/>
    <w:rsid w:val="54707211"/>
    <w:rsid w:val="560333C8"/>
    <w:rsid w:val="56AE0539"/>
    <w:rsid w:val="56FE589C"/>
    <w:rsid w:val="5999312B"/>
    <w:rsid w:val="5A1B1B53"/>
    <w:rsid w:val="5BE97FA2"/>
    <w:rsid w:val="681600D0"/>
    <w:rsid w:val="6A9B511D"/>
    <w:rsid w:val="6EC61341"/>
    <w:rsid w:val="71DE24E5"/>
    <w:rsid w:val="75735BA0"/>
    <w:rsid w:val="78FD2FB3"/>
    <w:rsid w:val="7FA24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Hyperlink"/>
    <w:basedOn w:val="7"/>
    <w:qFormat/>
    <w:uiPriority w:val="0"/>
    <w:rPr>
      <w:color w:val="333333"/>
      <w:u w:val="none"/>
    </w:rPr>
  </w:style>
  <w:style w:type="character" w:customStyle="1" w:styleId="11">
    <w:name w:val="quanp2"/>
    <w:basedOn w:val="7"/>
    <w:qFormat/>
    <w:uiPriority w:val="0"/>
    <w:rPr>
      <w:color w:val="FFFFFF"/>
      <w:sz w:val="0"/>
      <w:szCs w:val="0"/>
      <w:shd w:val="clear" w:fill="7CB8FE"/>
    </w:rPr>
  </w:style>
  <w:style w:type="character" w:customStyle="1" w:styleId="12">
    <w:name w:val="ldjs"/>
    <w:basedOn w:val="7"/>
    <w:qFormat/>
    <w:uiPriority w:val="0"/>
    <w:rPr>
      <w:color w:val="666666"/>
      <w:sz w:val="24"/>
      <w:szCs w:val="24"/>
    </w:rPr>
  </w:style>
  <w:style w:type="character" w:customStyle="1" w:styleId="13">
    <w:name w:val="ts"/>
    <w:basedOn w:val="7"/>
    <w:qFormat/>
    <w:uiPriority w:val="0"/>
    <w:rPr>
      <w:color w:val="E12500"/>
    </w:rPr>
  </w:style>
  <w:style w:type="character" w:customStyle="1" w:styleId="14">
    <w:name w:val="bum2"/>
    <w:basedOn w:val="7"/>
    <w:qFormat/>
    <w:uiPriority w:val="0"/>
    <w:rPr>
      <w:color w:val="FF0000"/>
    </w:rPr>
  </w:style>
  <w:style w:type="character" w:customStyle="1" w:styleId="15">
    <w:name w:val="zuo"/>
    <w:basedOn w:val="7"/>
    <w:qFormat/>
    <w:uiPriority w:val="0"/>
  </w:style>
  <w:style w:type="character" w:customStyle="1" w:styleId="16">
    <w:name w:val="quanp"/>
    <w:basedOn w:val="7"/>
    <w:qFormat/>
    <w:uiPriority w:val="0"/>
    <w:rPr>
      <w:color w:val="FFFFFF"/>
      <w:shd w:val="clear" w:fill="7CB8FE"/>
    </w:rPr>
  </w:style>
  <w:style w:type="character" w:customStyle="1" w:styleId="17">
    <w:name w:val="tankai"/>
    <w:basedOn w:val="7"/>
    <w:qFormat/>
    <w:uiPriority w:val="0"/>
  </w:style>
  <w:style w:type="character" w:customStyle="1" w:styleId="18">
    <w:name w:val="xuh"/>
    <w:basedOn w:val="7"/>
    <w:qFormat/>
    <w:uiPriority w:val="0"/>
  </w:style>
  <w:style w:type="character" w:customStyle="1" w:styleId="19">
    <w:name w:val="bum3"/>
    <w:basedOn w:val="7"/>
    <w:qFormat/>
    <w:uiPriority w:val="0"/>
    <w:rPr>
      <w:color w:val="999999"/>
    </w:rPr>
  </w:style>
  <w:style w:type="character" w:customStyle="1" w:styleId="20">
    <w:name w:val="lname"/>
    <w:basedOn w:val="7"/>
    <w:qFormat/>
    <w:uiPriority w:val="0"/>
    <w:rPr>
      <w:color w:val="000000"/>
      <w:sz w:val="27"/>
      <w:szCs w:val="27"/>
    </w:rPr>
  </w:style>
  <w:style w:type="character" w:customStyle="1" w:styleId="21">
    <w:name w:val="jiaoluo"/>
    <w:basedOn w:val="7"/>
    <w:qFormat/>
    <w:uiPriority w:val="0"/>
  </w:style>
  <w:style w:type="character" w:customStyle="1" w:styleId="22">
    <w:name w:val="chak"/>
    <w:basedOn w:val="7"/>
    <w:qFormat/>
    <w:uiPriority w:val="0"/>
  </w:style>
  <w:style w:type="character" w:customStyle="1" w:styleId="23">
    <w:name w:val="last1"/>
    <w:basedOn w:val="7"/>
    <w:qFormat/>
    <w:uiPriority w:val="0"/>
  </w:style>
  <w:style w:type="character" w:customStyle="1" w:styleId="24">
    <w:name w:val="chljeg"/>
    <w:basedOn w:val="7"/>
    <w:qFormat/>
    <w:uiPriority w:val="0"/>
    <w:rPr>
      <w:color w:val="E70000"/>
    </w:rPr>
  </w:style>
  <w:style w:type="character" w:customStyle="1" w:styleId="25">
    <w:name w:val="zheng"/>
    <w:basedOn w:val="7"/>
    <w:qFormat/>
    <w:uiPriority w:val="0"/>
    <w:rPr>
      <w:color w:val="FFFFFF"/>
      <w:shd w:val="clear" w:fill="1C86E0"/>
    </w:rPr>
  </w:style>
  <w:style w:type="character" w:customStyle="1" w:styleId="26">
    <w:name w:val="shenhe"/>
    <w:basedOn w:val="7"/>
    <w:qFormat/>
    <w:uiPriority w:val="0"/>
    <w:rPr>
      <w:color w:val="007E09"/>
    </w:rPr>
  </w:style>
  <w:style w:type="character" w:customStyle="1" w:styleId="27">
    <w:name w:val="dengji"/>
    <w:basedOn w:val="7"/>
    <w:qFormat/>
    <w:uiPriority w:val="0"/>
  </w:style>
  <w:style w:type="character" w:customStyle="1" w:styleId="28">
    <w:name w:val="dengji1"/>
    <w:basedOn w:val="7"/>
    <w:qFormat/>
    <w:uiPriority w:val="0"/>
  </w:style>
  <w:style w:type="character" w:customStyle="1" w:styleId="29">
    <w:name w:val="jiaoluo2"/>
    <w:basedOn w:val="7"/>
    <w:qFormat/>
    <w:uiPriority w:val="0"/>
  </w:style>
  <w:style w:type="character" w:customStyle="1" w:styleId="30">
    <w:name w:val="you"/>
    <w:basedOn w:val="7"/>
    <w:qFormat/>
    <w:uiPriority w:val="0"/>
  </w:style>
  <w:style w:type="paragraph" w:customStyle="1" w:styleId="31">
    <w:name w:val="p0"/>
    <w:basedOn w:val="1"/>
    <w:qFormat/>
    <w:uiPriority w:val="0"/>
    <w:pPr>
      <w:widowControl/>
      <w:ind w:firstLine="480"/>
      <w:jc w:val="left"/>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2764</Words>
  <Characters>2826</Characters>
  <Lines>0</Lines>
  <Paragraphs>0</Paragraphs>
  <TotalTime>155</TotalTime>
  <ScaleCrop>false</ScaleCrop>
  <LinksUpToDate>false</LinksUpToDate>
  <CharactersWithSpaces>2826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2020-02-11T08:29:00Z</dcterms:created>
  <dc:creator>雨打芭蕉</dc:creator>
  <cp:lastModifiedBy>雨打芭蕉</cp:lastModifiedBy>
  <cp:lastPrinted>2023-01-12T03:44:00Z</cp:lastPrinted>
  <dcterms:modified xsi:type="dcterms:W3CDTF">2023-01-12T12:08:25Z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D02EF9EF5A01475A9703A90ECCD3F46E</vt:lpwstr>
  </property>
</Properties>
</file>