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安康市生态环境局岚皋分局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根据《中华人民共和国政府信息公开条例》的规定，现公布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安康市生态环境局岚皋分局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年政府信息公开工作年度报告。本报告由总体情况、主动公开政府信息情况、收到和处理政府信息公开申请情况、政府信息公开行政复议行政诉讼情况、存在的主要问题及改进情况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和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其他需要报告的事项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六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部分组成，内容涵盖本单位202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年1月1日至12月31日期间的政府信息公开工作情况。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2022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生态环境板块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公示公开各类信息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99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条，其中大气环境质量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条、水环境监测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19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条、三长治河1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条、排污单位环境信息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条、环评公示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35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条、面源污染治理11条。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（二）依申请公开情况。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截止2022年底我分局未收到政府信息公开申请，无依申请公开信息。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（三）政府信息管理情况。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依据《中华人民共和国政府信息公开条例》，我分局切实加强对信息管理的组织领导，建立健全工作机制，依法推进政府信息公开，着力打造服务型机关，较好地完成了政府信息公开各项工作。成立由徐庆文局长为组长，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冯开学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副局长为副组长，各单位及各股室负责人为组员的局信息化领导小组，确保全局信息公开工作有序进行。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（四）平台建设情况。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我分局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严格执行内部工作管理制度，加强规范了“两微一端”的管理,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2022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年,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分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局双微平台共发表稿件6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jc w:val="left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分局机关各项业务工作按照规定用多种宣传形式公布了审批程序、申报材料、审批时限等，涉及收费的，严格按照物价部门审批的标准和项目予以公示、公告。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0"/>
        <w:gridCol w:w="1770"/>
        <w:gridCol w:w="1530"/>
        <w:gridCol w:w="18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制发件数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 0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规范性文件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 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textAlignment w:val="auto"/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4"/>
        <w:gridCol w:w="828"/>
        <w:gridCol w:w="1927"/>
        <w:gridCol w:w="754"/>
        <w:gridCol w:w="701"/>
        <w:gridCol w:w="701"/>
        <w:gridCol w:w="754"/>
        <w:gridCol w:w="899"/>
        <w:gridCol w:w="662"/>
        <w:gridCol w:w="6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（六）其他处理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1.申请人无正当理由逾期不补正、行政机关不在处理其政府信息公开申请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2.申请人逾期未按照收费通知要求缴纳费用、行政机关不再处理其政府信息公开申请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3.其他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textAlignment w:val="auto"/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textAlignment w:val="auto"/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553"/>
        <w:gridCol w:w="553"/>
        <w:gridCol w:w="553"/>
        <w:gridCol w:w="606"/>
        <w:gridCol w:w="501"/>
        <w:gridCol w:w="553"/>
        <w:gridCol w:w="553"/>
        <w:gridCol w:w="553"/>
        <w:gridCol w:w="579"/>
        <w:gridCol w:w="553"/>
        <w:gridCol w:w="553"/>
        <w:gridCol w:w="553"/>
        <w:gridCol w:w="553"/>
        <w:gridCol w:w="5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598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32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textAlignment w:val="auto"/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1"/>
          <w:sz w:val="32"/>
          <w:szCs w:val="32"/>
          <w:lang w:val="en-US" w:eastAsia="zh-CN" w:bidi="ar-SA"/>
        </w:rPr>
        <w:t>（一）存在的主要问题。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我分局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信息公开工作虽取得一定成绩,但仍存在问题和不足。</w:t>
      </w:r>
      <w:r>
        <w:rPr>
          <w:rFonts w:hint="eastAsia" w:ascii="仿宋_GB2312" w:hAnsi="Tahoma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一是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政务公开标准化、规范化需进一步优化整合。</w:t>
      </w:r>
      <w:r>
        <w:rPr>
          <w:rFonts w:hint="eastAsia" w:ascii="仿宋_GB2312" w:hAnsi="Tahoma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二是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对信息公开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及时性还需提升。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1"/>
          <w:sz w:val="32"/>
          <w:szCs w:val="32"/>
          <w:lang w:val="en-US" w:eastAsia="zh-CN" w:bidi="ar-SA"/>
        </w:rPr>
        <w:t>（二）改进措施。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下一步，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我分局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将继续认真贯彻《中华人民共和国政府信息公开条例》和县政府关于信息公开的有关规定，</w:t>
      </w:r>
      <w:r>
        <w:rPr>
          <w:rFonts w:hint="eastAsia" w:ascii="仿宋_GB2312" w:hAnsi="Tahoma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坚持一把手亲自抓，分管领导直接抓，经办人员具体抓的工作机制，确保领导、人员、机构三到位，加大对政府信息公开工作的认识和重视程度，切实提高政务公开重大意义的认识，不断深化公开理念，增强推进政务公开的紧迫感和责任感。</w:t>
      </w:r>
      <w:r>
        <w:rPr>
          <w:rFonts w:hint="eastAsia" w:ascii="仿宋_GB2312" w:hAnsi="Tahoma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二是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结合生态环境最新政策法规及相关配套的规章制度的实施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认真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做好各类信息公开，不断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提高工作水平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，使信息公开内容更加符合群众的需求。</w:t>
      </w:r>
      <w:r>
        <w:rPr>
          <w:rFonts w:hint="eastAsia" w:ascii="仿宋_GB2312" w:hAnsi="Tahoma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三是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加大网站及新媒体问题排查频次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，检查信息是否及时更新，杜绝出现信息更新缓慢、内容不全面等问题，不断建立健全政务公开长效机制，完善网站平台的运行管理机制，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确保信息高效发布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我分局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面向社会提供的各类信息，没有收取任何费用。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YjgxYzZlOWJhNzdiYzUwNzhlMzk2YTI2N2NkYTAifQ=="/>
  </w:docVars>
  <w:rsids>
    <w:rsidRoot w:val="00000000"/>
    <w:rsid w:val="01C37B99"/>
    <w:rsid w:val="07B74F40"/>
    <w:rsid w:val="12BA662B"/>
    <w:rsid w:val="1B4659B0"/>
    <w:rsid w:val="24AB5BF0"/>
    <w:rsid w:val="26096F22"/>
    <w:rsid w:val="2B4F2C16"/>
    <w:rsid w:val="2DB66F7C"/>
    <w:rsid w:val="2E4E5C07"/>
    <w:rsid w:val="35481FE4"/>
    <w:rsid w:val="3B712C10"/>
    <w:rsid w:val="3E59393E"/>
    <w:rsid w:val="40656EED"/>
    <w:rsid w:val="434243E3"/>
    <w:rsid w:val="48245124"/>
    <w:rsid w:val="4B8F64B5"/>
    <w:rsid w:val="52147F1A"/>
    <w:rsid w:val="5BD448EE"/>
    <w:rsid w:val="5C9B4EDB"/>
    <w:rsid w:val="6D342CE0"/>
    <w:rsid w:val="6FEF0E1F"/>
    <w:rsid w:val="74051691"/>
    <w:rsid w:val="768D2E5A"/>
    <w:rsid w:val="7C4D7B2B"/>
    <w:rsid w:val="7FA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rPr>
      <w:rFonts w:ascii="Arial" w:hAnsi="Arial" w:eastAsia="宋体" w:cs="Times New Roman"/>
      <w:sz w:val="24"/>
      <w:szCs w:val="2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1938</Words>
  <Characters>1988</Characters>
  <Lines>0</Lines>
  <Paragraphs>0</Paragraphs>
  <TotalTime>6</TotalTime>
  <ScaleCrop>false</ScaleCrop>
  <LinksUpToDate>false</LinksUpToDate>
  <CharactersWithSpaces>1988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只是暂时~</cp:lastModifiedBy>
  <dcterms:modified xsi:type="dcterms:W3CDTF">2023-01-13T01:25:06Z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D30A2774642B4F31AD8488225510C344</vt:lpwstr>
  </property>
</Properties>
</file>