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南宫山镇2019年政府信息公开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r>
        <w:rPr>
          <w:rFonts w:hint="eastAsia" w:ascii="方正小标宋简体" w:hAnsi="方正小标宋简体" w:eastAsia="方正小标宋简体" w:cs="方正小标宋简体"/>
          <w:color w:val="auto"/>
          <w:kern w:val="0"/>
          <w:sz w:val="44"/>
          <w:szCs w:val="44"/>
          <w:lang w:val="en-US" w:eastAsia="zh-CN" w:bidi="ar"/>
        </w:rPr>
        <w:t>工作年度报告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一、总体情况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2019年，镇党委、政府高度重视政府政务公开工作，严格按照《中华人民共和国政府信息公开条例》的相关要求，积极采取措施。通过落实工作机构和人员、完善各项制度、开展学习宣传、加强政务公开工作，使我镇政府信息公开工作取得了良好成效。现将我镇2019年政府信息公开工作报告如下。本报告中所列数据的统计期限自2019年1月1日起，至2019年12月31日止。对本报告如有疑问，可与岚皋县南宫山镇人民政府办公室联系（电话：0915－2718255）。</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2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（一）加强领导，信息公开推进有序</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本镇严格按照《中华人民共和国政府信息公开条例》，层层分解任务，全面落实重点工作，平稳有序地推进政府信息公开工作。安排党政办专人全面负责做好政务公开工作的督促和指导工作并积极组织深入学习《中华人民共和国政府信息公开条例》和政务公开工作的相关文件精神，在强化思想认识的同时，全面提升业务水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（二）规范程序，信息公开严格把关</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严格落实信息公开审核制度，严把公开内容，规范公开流程，充分保证了信息发布的全面性、准确性和规范性。严格对照年度任务，聚焦三大攻坚战、深化“放管服”改革、重点民生领域等社会最敏感、反映最强烈的热点问题及时予以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（三）明确任务，推进重点领域信息公开</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严格落实上级各项规定。积极利用微信公众号、宣传栏等方式积极转发、张贴宣传上级重要政策出台、重点工作推进、重大事件发生信息，根据群众提出问题认真给予答疑解释。 </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二、主动公开政府信息情况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19"/>
        <w:gridCol w:w="2009"/>
        <w:gridCol w:w="2153"/>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本年新制作数量</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本年新公开数量</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helvetica" w:hAnsi="helvetica" w:eastAsia="helvetica" w:cs="helvetica"/>
                <w:sz w:val="21"/>
                <w:szCs w:val="21"/>
              </w:rPr>
            </w:pP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行政许可</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其他对外管理服务事项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行政处罚</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行政强制</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26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上一年项目数量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行政事业性收费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采购项目数量</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政府集中采购</w:t>
            </w:r>
          </w:p>
        </w:tc>
        <w:tc>
          <w:tcPr>
            <w:tcW w:w="211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18</w:t>
            </w:r>
          </w:p>
        </w:tc>
        <w:tc>
          <w:tcPr>
            <w:tcW w:w="4110"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39540</w:t>
            </w: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三、收到和处理政府信息公开申请情况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02"/>
        <w:gridCol w:w="1452"/>
        <w:gridCol w:w="2488"/>
        <w:gridCol w:w="650"/>
        <w:gridCol w:w="515"/>
        <w:gridCol w:w="515"/>
        <w:gridCol w:w="515"/>
        <w:gridCol w:w="515"/>
        <w:gridCol w:w="569"/>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商业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社会</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公益</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法律</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7" w:right="0"/>
              <w:jc w:val="center"/>
              <w:textAlignment w:val="auto"/>
            </w:pPr>
            <w:r>
              <w:rPr>
                <w:rFonts w:hint="eastAsia" w:ascii="宋体" w:hAnsi="宋体" w:eastAsia="宋体" w:cs="宋体"/>
                <w:color w:val="auto"/>
                <w:kern w:val="0"/>
                <w:sz w:val="20"/>
                <w:szCs w:val="2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本</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度</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办</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理</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结</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78" w:right="0"/>
              <w:jc w:val="left"/>
              <w:textAlignment w:val="auto"/>
            </w:pPr>
            <w:r>
              <w:rPr>
                <w:rFonts w:hint="eastAsia" w:ascii="宋体" w:hAnsi="宋体" w:eastAsia="宋体" w:cs="宋体"/>
                <w:color w:val="auto"/>
                <w:kern w:val="0"/>
                <w:sz w:val="20"/>
                <w:szCs w:val="2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268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200" w:right="0" w:hanging="200"/>
              <w:jc w:val="left"/>
              <w:textAlignment w:val="auto"/>
            </w:pPr>
            <w:r>
              <w:rPr>
                <w:rFonts w:hint="eastAsia" w:ascii="宋体" w:hAnsi="宋体" w:eastAsia="宋体" w:cs="宋体"/>
                <w:color w:val="auto"/>
                <w:kern w:val="0"/>
                <w:sz w:val="20"/>
                <w:szCs w:val="2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（六）其他处理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42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left"/>
              <w:textAlignment w:val="auto"/>
            </w:pPr>
            <w:r>
              <w:rPr>
                <w:rFonts w:hint="eastAsia" w:ascii="宋体" w:hAnsi="宋体" w:eastAsia="宋体" w:cs="宋体"/>
                <w:color w:val="auto"/>
                <w:kern w:val="0"/>
                <w:sz w:val="20"/>
                <w:szCs w:val="2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pPr>
      <w:r>
        <w:rPr>
          <w:rFonts w:hint="eastAsia" w:ascii="仿宋_GB2312" w:hAnsi="仿宋_GB2312" w:eastAsia="仿宋_GB2312" w:cs="仿宋_GB2312"/>
          <w:color w:val="auto"/>
          <w:kern w:val="0"/>
          <w:sz w:val="32"/>
          <w:szCs w:val="32"/>
          <w:lang w:val="en-US" w:eastAsia="zh-CN" w:bidi="ar"/>
        </w:rPr>
        <w:t>四、政府信息公开行政复议、行政诉讼情况</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5"/>
        <w:gridCol w:w="545"/>
        <w:gridCol w:w="544"/>
        <w:gridCol w:w="544"/>
        <w:gridCol w:w="589"/>
        <w:gridCol w:w="560"/>
        <w:gridCol w:w="531"/>
        <w:gridCol w:w="545"/>
        <w:gridCol w:w="545"/>
        <w:gridCol w:w="604"/>
        <w:gridCol w:w="545"/>
        <w:gridCol w:w="545"/>
        <w:gridCol w:w="545"/>
        <w:gridCol w:w="545"/>
        <w:gridCol w:w="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99"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01"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2"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28"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111" w:right="0"/>
              <w:jc w:val="center"/>
              <w:textAlignment w:val="auto"/>
            </w:pPr>
            <w:r>
              <w:rPr>
                <w:rFonts w:hint="eastAsia" w:ascii="宋体" w:hAnsi="宋体" w:eastAsia="宋体" w:cs="宋体"/>
                <w:color w:val="auto"/>
                <w:kern w:val="0"/>
                <w:sz w:val="20"/>
                <w:szCs w:val="2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总</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86" w:right="0"/>
              <w:jc w:val="center"/>
              <w:textAlignment w:val="auto"/>
            </w:pPr>
            <w:r>
              <w:rPr>
                <w:rFonts w:hint="eastAsia" w:ascii="宋体" w:hAnsi="宋体" w:eastAsia="宋体" w:cs="宋体"/>
                <w:color w:val="auto"/>
                <w:kern w:val="0"/>
                <w:sz w:val="20"/>
                <w:szCs w:val="2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7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4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helvetica" w:hAnsi="helvetica" w:eastAsia="helvetica" w:cs="helvetica"/>
                <w:sz w:val="21"/>
                <w:szCs w:val="21"/>
              </w:rPr>
            </w:pPr>
          </w:p>
        </w:tc>
      </w:tr>
    </w:tbl>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存在主要问题：一是对信息公开工作相关要求和规定的学习还不够；二是信息公开工作组织制度、责任制度、监督考核制度及宣传力度还有待进一步完善和加强。</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下一步改进：一是加强相关业务培训。要加强对《中华人民共和国政府信息公开条例》的学习，准确理解，严格执行。强化信息收集、编写、公布等工作的统一管理，进一步提高各部门报送信息的主动性，保证公开信息的及时性、准确性和全面性。二是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三是增强责任意识。加强工作人员的责任意识，保证信息公开工作做到及时更新和公开，确保公开的信息完整率和更新率。</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5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无</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textAlignment w:val="auto"/>
      </w:pPr>
    </w:p>
    <w:p>
      <w:pPr>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420"/>
        <w:jc w:val="lef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方正公文小标宋"/>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仿宋_GB2312"/>
    <w:panose1 w:val="00000000000000000000"/>
    <w:charset w:val="00"/>
    <w:family w:val="auto"/>
    <w:pitch w:val="default"/>
    <w:sig w:usb0="00000000" w:usb1="00000000" w:usb2="00000000" w:usb3="00000000" w:csb0="0000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0C5958CA"/>
    <w:rsid w:val="2796494B"/>
    <w:rsid w:val="36B10CBA"/>
    <w:rsid w:val="56016118"/>
    <w:rsid w:val="6B1B463A"/>
    <w:rsid w:val="7E5BB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caption"/>
    <w:basedOn w:val="1"/>
    <w:next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默认段落字体1"/>
    <w:uiPriority w:val="0"/>
  </w:style>
  <w:style w:type="paragraph" w:customStyle="1" w:styleId="9">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1654</Words>
  <Characters>1701</Characters>
  <TotalTime>5</TotalTime>
  <ScaleCrop>false</ScaleCrop>
  <LinksUpToDate>false</LinksUpToDate>
  <CharactersWithSpaces>1702</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2018-11-27T01:47:00Z</dcterms:created>
  <dc:creator>ankang</dc:creator>
  <cp:lastModifiedBy>WPS_1665049230</cp:lastModifiedBy>
  <dcterms:modified xsi:type="dcterms:W3CDTF">2023-04-27T00:34:54Z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89B1E7F545C849B69583F8ABB84F5B9B_12</vt:lpwstr>
  </property>
</Properties>
</file>