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岚皋县市场监督管理局2020年度政府信息公开工作年度报告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2020年，我局按照《中华人民共和国政府信息公开条例》和县政府政务信息公开有关要求，不断增加主动公开内容，及时、准确地向社会公开相关信息，充分保障人民群众的知情权、参与权和监督权。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一）主动公开情况。2020年，我局通过县政府网站主动公开各类政府信息126条，其中：规范性文件公示信息1条；行政执法事前公示信息3条；行政处罚公示信息5条；食品抽检结果公示信息15条；食品药品产品质量专项行动通知等公示信息6条；动态类信息及其他信息96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此外，我局依据《企业经营异常名录管理暂行办法》（国家工商总局令第68号）、《个体工商户年度报告暂行办法》（国家工商总局令第69号）、《国家企业信用信息公示系统使用运行管理办法（试行）》等相关规定，依法将2020年度列入经营异常名录的259户企业、3534户个体工商户的列异信息公示至国家信用信息公示系统。</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（二）依申请公开情况。2020年度我局未收到政府信息公开申请。</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
        </w:rPr>
        <w:t>（三）政府信息管理情况。提高对政府信息公开的重视程度，落实先审后发工作制度，对需要公开的信息内容严格进行审查，严格保证政府信息公开内容准确无误。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kern w:val="0"/>
          <w:sz w:val="32"/>
          <w:szCs w:val="32"/>
          <w:lang w:val="en-US" w:eastAsia="zh-CN" w:bidi="ar"/>
        </w:rPr>
        <w:t>（四）平台建设情况。一是充分发挥县政府网站和岚皋县市场监督管理局微信公众号的信息公开平台作用，指定专人负责运营微信公众号，及时发布主要工作动态和信息；二是按照《国家企业信用信息公示系统使用运行管理办法（试行）》相关规定，加强对国家信用信息公示系统的运用及应公示信息的管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kern w:val="0"/>
          <w:sz w:val="32"/>
          <w:szCs w:val="32"/>
          <w:lang w:val="en-US" w:eastAsia="zh-CN" w:bidi="ar"/>
        </w:rPr>
        <w:t>（五）监督保障情况。将政府信息公开工作列入我局的重要议事日程，加强领导、夯实责任。同时加强督查检查，进一步提高信息公开质量，确保应公示尽公示。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kern w:val="0"/>
          <w:sz w:val="32"/>
          <w:szCs w:val="32"/>
          <w:lang w:val="en-US" w:eastAsia="zh-CN" w:bidi="ar"/>
        </w:rPr>
        <w:t>二、主动公开政府信息情况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10"/>
        <w:gridCol w:w="2007"/>
        <w:gridCol w:w="2161"/>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510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19</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579656.46元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pPr>
      <w:r>
        <w:rPr>
          <w:rFonts w:hint="eastAsia" w:ascii="仿宋_GB2312" w:hAnsi="仿宋_GB2312" w:eastAsia="仿宋_GB2312" w:cs="仿宋_GB2312"/>
          <w:color w:val="auto"/>
          <w:kern w:val="0"/>
          <w:sz w:val="32"/>
          <w:szCs w:val="32"/>
          <w:lang w:val="en-US" w:eastAsia="zh-CN" w:bidi="ar"/>
        </w:rPr>
        <w:t>三、收到和处理政府信息公开申请情况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2"/>
        <w:gridCol w:w="1452"/>
        <w:gridCol w:w="2487"/>
        <w:gridCol w:w="651"/>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公益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四、政府信息公开行政复议、行政诉讼情况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4"/>
        <w:gridCol w:w="545"/>
        <w:gridCol w:w="545"/>
        <w:gridCol w:w="545"/>
        <w:gridCol w:w="589"/>
        <w:gridCol w:w="560"/>
        <w:gridCol w:w="530"/>
        <w:gridCol w:w="545"/>
        <w:gridCol w:w="545"/>
        <w:gridCol w:w="604"/>
        <w:gridCol w:w="545"/>
        <w:gridCol w:w="545"/>
        <w:gridCol w:w="545"/>
        <w:gridCol w:w="545"/>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年来，在上级政务公开部门的正确指导和关心支持下，我局信息公开工作取得了新进展新成效，但还存在薄弱环节，如信息公开的深度和广度还有待加强，公开渠道过窄，存在信息更新不及时等现象。在今后的工作中，我局将进一步提高对公开工作的认识。切实提高机关干部对做好政府信息公开工作的认识，进一步加强对政府</w:t>
      </w:r>
      <w:bookmarkStart w:id="0" w:name="_GoBack"/>
      <w:bookmarkEnd w:id="0"/>
      <w:r>
        <w:rPr>
          <w:rFonts w:hint="eastAsia" w:ascii="仿宋_GB2312" w:hAnsi="仿宋_GB2312" w:eastAsia="仿宋_GB2312" w:cs="仿宋_GB2312"/>
          <w:color w:val="auto"/>
          <w:kern w:val="0"/>
          <w:sz w:val="32"/>
          <w:szCs w:val="32"/>
          <w:lang w:val="en-US" w:eastAsia="zh-CN" w:bidi="ar"/>
        </w:rPr>
        <w:t>信息公开工作的领导和监督，层层落实责任，定期督查通报，确保把政府信息公开工作落到实处。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暂无</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仿宋_GB2312"/>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668F4849"/>
    <w:rsid w:val="7E7B5BA4"/>
    <w:rsid w:val="D219F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qFormat/>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默认段落字体1"/>
    <w:uiPriority w:val="0"/>
  </w:style>
  <w:style w:type="paragraph" w:customStyle="1" w:styleId="9">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WPS_1665049230</cp:lastModifiedBy>
  <dcterms:modified xsi:type="dcterms:W3CDTF">2023-05-04T03:08:40Z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1D133D3FD72F4DE5BBA040CC2C7C20DE_12</vt:lpwstr>
  </property>
</Properties>
</file>