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center"/>
        <w:textAlignment w:val="auto"/>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t>岚皋县信访局2020年度信息公开</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center"/>
        <w:textAlignment w:val="auto"/>
        <w:rPr>
          <w:rFonts w:hint="eastAsia" w:ascii="仿宋_GB2312" w:hAnsi="仿宋_GB2312" w:eastAsia="仿宋_GB2312" w:cs="仿宋_GB2312"/>
          <w:b w:val="0"/>
          <w:bCs w:val="0"/>
          <w:i w:val="0"/>
          <w:caps w:val="0"/>
          <w:color w:val="000000"/>
          <w:spacing w:val="0"/>
          <w:kern w:val="0"/>
          <w:sz w:val="32"/>
          <w:szCs w:val="32"/>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t>工作年度报告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b w:val="0"/>
          <w:bCs w:val="0"/>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kern w:val="0"/>
          <w:sz w:val="32"/>
          <w:szCs w:val="32"/>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kern w:val="0"/>
          <w:sz w:val="32"/>
          <w:szCs w:val="32"/>
          <w:lang w:val="en-US" w:eastAsia="zh-CN" w:bidi="ar"/>
        </w:rPr>
        <w:t>2020年，县信访局认真学习贯彻习近平总书记关于加强和改进人民信访工作的重要思想和党的十九大，十九届三中、四中、五中全会以及习近平总书记来陕考察重要讲话精神，深入推进信访工作制度改革，不断完善信息公开制度，强化政策解读积极回应社会关切，切实保障人民群众知情权、参与权、监督权和表达权，充分发挥了政务信息在提高政府工作透明度和服务领导决策和服务人民群众的作用。一是主动公开情况。 2020年，我局公开信息31条，其中，通知公告6条，财政预算决算 2条，经验交流3条 。二是依申请公开情况。2020年，我局未收到信息公开申请。三是信息管理情况。我局成立了信息宣传管理机构，明确一名班子成员为组长，各股室负责人为成员，对各类信息进行分类管理，有序公开。四是平台建设情况。依托省市信访局网站和县政府门户网站对各类应公开的信息按时按要求进行公开。同时，充分发挥信访接待窗口作用，面对面与群众进行沟通交流，发放宣传手册 800余份。2020年，接待群众来信来访 792批1366人次，其中初访477批727人，集体访39批276人次。县级领导驻厅接待72次，接待信访群众83批216人次，县委、县政府主要领导接访22次43批58人次。五是监督保障情况。我局将信息公开工作纳入重要日程，作为提升管理水平，加强社会监督的重要环节来抓，由局班子成员带头亲自抓各分管领域的信息公开工作。同时，局机关明确专人对信息进行分类，定期按照要求发布公开信息。局班子会议定期对公开信息工作进行核查，总结成效，改进不足，提升信息公开工作规范化水平。</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kern w:val="0"/>
          <w:sz w:val="32"/>
          <w:szCs w:val="32"/>
          <w:lang w:val="en-US" w:eastAsia="zh-CN" w:bidi="ar"/>
        </w:rPr>
        <w:t>二、主动公开政府信息情况（数据填报）</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19"/>
        <w:gridCol w:w="2009"/>
        <w:gridCol w:w="2153"/>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本年新制作数量</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本年新公开数量</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规章</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规范性文件</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本年增/减</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行政许可</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其他对外管理服务事项</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本年增/减</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行政处罚</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行政强制</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上一年项目数量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行政事业性收费</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采购项目数量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政府集中采购</w:t>
            </w:r>
          </w:p>
        </w:tc>
        <w:tc>
          <w:tcPr>
            <w:tcW w:w="21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27</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15740</w:t>
            </w:r>
          </w:p>
        </w:tc>
      </w:tr>
    </w:tbl>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三、收到和处理政府信息公开申请情况（数据填报）</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00"/>
        <w:gridCol w:w="1443"/>
        <w:gridCol w:w="2466"/>
        <w:gridCol w:w="656"/>
        <w:gridCol w:w="521"/>
        <w:gridCol w:w="521"/>
        <w:gridCol w:w="521"/>
        <w:gridCol w:w="521"/>
        <w:gridCol w:w="576"/>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665" w:type="dxa"/>
            <w:gridSpan w:val="3"/>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（本列数据的勾稽关系为：第一项加第二项之和，等于第三项加第四项之和）</w:t>
            </w:r>
          </w:p>
        </w:tc>
        <w:tc>
          <w:tcPr>
            <w:tcW w:w="4245"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66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70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11" w:right="0"/>
              <w:jc w:val="center"/>
              <w:textAlignment w:val="auto"/>
            </w:pPr>
            <w:r>
              <w:rPr>
                <w:rFonts w:hint="eastAsia" w:ascii="宋体" w:hAnsi="宋体" w:eastAsia="宋体" w:cs="宋体"/>
                <w:color w:val="auto"/>
                <w:kern w:val="0"/>
                <w:sz w:val="20"/>
                <w:szCs w:val="20"/>
                <w:lang w:val="en-US" w:eastAsia="zh-CN" w:bidi="ar"/>
              </w:rPr>
              <w:t>自然人</w:t>
            </w:r>
          </w:p>
        </w:tc>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法人或其他组织</w:t>
            </w:r>
          </w:p>
        </w:tc>
        <w:tc>
          <w:tcPr>
            <w:tcW w:w="70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66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70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auto"/>
                <w:kern w:val="0"/>
                <w:sz w:val="20"/>
                <w:szCs w:val="20"/>
                <w:lang w:val="en-US" w:eastAsia="zh-CN" w:bidi="ar"/>
              </w:rPr>
              <w:t>企业</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auto"/>
                <w:kern w:val="0"/>
                <w:sz w:val="20"/>
                <w:szCs w:val="20"/>
                <w:lang w:val="en-US" w:eastAsia="zh-CN" w:bidi="ar"/>
              </w:rPr>
              <w:t>机构</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公益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auto"/>
                <w:kern w:val="0"/>
                <w:sz w:val="20"/>
                <w:szCs w:val="20"/>
                <w:lang w:val="en-US" w:eastAsia="zh-CN" w:bidi="ar"/>
              </w:rPr>
              <w:t>组织</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法律</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auto"/>
                <w:kern w:val="0"/>
                <w:sz w:val="20"/>
                <w:szCs w:val="20"/>
                <w:lang w:val="en-US" w:eastAsia="zh-CN" w:bidi="ar"/>
              </w:rPr>
              <w:t>机构</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auto"/>
                <w:kern w:val="0"/>
                <w:sz w:val="20"/>
                <w:szCs w:val="20"/>
                <w:lang w:val="en-US" w:eastAsia="zh-CN" w:bidi="ar"/>
              </w:rPr>
              <w:t>其他</w:t>
            </w:r>
          </w:p>
        </w:tc>
        <w:tc>
          <w:tcPr>
            <w:tcW w:w="70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66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一、本年新收政府信息公开申请数量</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66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二、上年结转政府信息公开申请数量</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三</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度</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办</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结</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果</w:t>
            </w:r>
          </w:p>
        </w:tc>
        <w:tc>
          <w:tcPr>
            <w:tcW w:w="42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（一）予以公开</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（二）部分公开（区分处理的，只计这一情形，不计其他情形）</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78" w:right="0"/>
              <w:jc w:val="left"/>
              <w:textAlignment w:val="auto"/>
            </w:pPr>
            <w:r>
              <w:rPr>
                <w:rFonts w:hint="eastAsia" w:ascii="宋体" w:hAnsi="宋体" w:eastAsia="宋体" w:cs="宋体"/>
                <w:color w:val="auto"/>
                <w:kern w:val="0"/>
                <w:sz w:val="20"/>
                <w:szCs w:val="20"/>
                <w:lang w:val="en-US" w:eastAsia="zh-CN" w:bidi="ar"/>
              </w:rPr>
              <w:t>（三）不予公开</w:t>
            </w: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1.属于国家秘密</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2.其他法律行政法规禁止公开</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3.危及“三安全一稳定”</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4.保护第三方合法权益</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5.属于三类内部事务信息</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6.属于四类过程性信息</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7.属于行政执法案卷</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8.属于行政查询事项</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78" w:right="0"/>
              <w:jc w:val="left"/>
              <w:textAlignment w:val="auto"/>
            </w:pPr>
            <w:r>
              <w:rPr>
                <w:rFonts w:hint="eastAsia" w:ascii="宋体" w:hAnsi="宋体" w:eastAsia="宋体" w:cs="宋体"/>
                <w:color w:val="auto"/>
                <w:kern w:val="0"/>
                <w:sz w:val="20"/>
                <w:szCs w:val="20"/>
                <w:lang w:val="en-US" w:eastAsia="zh-CN" w:bidi="ar"/>
              </w:rPr>
              <w:t>（四）无法提供</w:t>
            </w: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1.本机关不掌握相关政府信息</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2.没有现成信息需要另行制作</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3.补正后申请内容仍不明确</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78" w:right="0"/>
              <w:jc w:val="left"/>
              <w:textAlignment w:val="auto"/>
            </w:pPr>
            <w:r>
              <w:rPr>
                <w:rFonts w:hint="eastAsia" w:ascii="宋体" w:hAnsi="宋体" w:eastAsia="宋体" w:cs="宋体"/>
                <w:color w:val="auto"/>
                <w:kern w:val="0"/>
                <w:sz w:val="20"/>
                <w:szCs w:val="20"/>
                <w:lang w:val="en-US" w:eastAsia="zh-CN" w:bidi="ar"/>
              </w:rPr>
              <w:t>（五）不予处理</w:t>
            </w: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1.信访举报投诉类申请</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2.重复申请</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3.要求提供公开出版物</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4.无正当理由大量反复申请</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200" w:right="0" w:hanging="200"/>
              <w:jc w:val="left"/>
              <w:textAlignment w:val="auto"/>
            </w:pPr>
            <w:r>
              <w:rPr>
                <w:rFonts w:hint="eastAsia" w:ascii="宋体" w:hAnsi="宋体" w:eastAsia="宋体" w:cs="宋体"/>
                <w:color w:val="auto"/>
                <w:kern w:val="0"/>
                <w:sz w:val="20"/>
                <w:szCs w:val="20"/>
                <w:lang w:val="en-US" w:eastAsia="zh-CN" w:bidi="ar"/>
              </w:rPr>
              <w:t>5.要求行政机关确认或重新出具已获取信息</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（六）其他处理</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（七）总计</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66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auto"/>
                <w:kern w:val="0"/>
                <w:sz w:val="20"/>
                <w:szCs w:val="20"/>
                <w:lang w:val="en-US" w:eastAsia="zh-CN" w:bidi="ar"/>
              </w:rPr>
              <w:t>四、结转下年度继续办理</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四、政府信息公开行政复议、行政诉讼情况（数据填报）</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4"/>
        <w:gridCol w:w="545"/>
        <w:gridCol w:w="545"/>
        <w:gridCol w:w="545"/>
        <w:gridCol w:w="589"/>
        <w:gridCol w:w="560"/>
        <w:gridCol w:w="530"/>
        <w:gridCol w:w="545"/>
        <w:gridCol w:w="545"/>
        <w:gridCol w:w="604"/>
        <w:gridCol w:w="545"/>
        <w:gridCol w:w="545"/>
        <w:gridCol w:w="545"/>
        <w:gridCol w:w="545"/>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82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行政复议</w:t>
            </w:r>
          </w:p>
        </w:tc>
        <w:tc>
          <w:tcPr>
            <w:tcW w:w="5670" w:type="dxa"/>
            <w:gridSpan w:val="10"/>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99" w:right="0"/>
              <w:jc w:val="center"/>
              <w:textAlignment w:val="auto"/>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99" w:right="0"/>
              <w:jc w:val="center"/>
              <w:textAlignment w:val="auto"/>
            </w:pPr>
            <w:r>
              <w:rPr>
                <w:rFonts w:hint="eastAsia" w:ascii="宋体" w:hAnsi="宋体" w:eastAsia="宋体" w:cs="宋体"/>
                <w:color w:val="auto"/>
                <w:kern w:val="0"/>
                <w:sz w:val="20"/>
                <w:szCs w:val="20"/>
                <w:lang w:val="en-US" w:eastAsia="zh-CN" w:bidi="ar"/>
              </w:rPr>
              <w:t>维持</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1" w:right="0"/>
              <w:jc w:val="center"/>
              <w:textAlignment w:val="auto"/>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1" w:right="0"/>
              <w:jc w:val="center"/>
              <w:textAlignment w:val="auto"/>
            </w:pPr>
            <w:r>
              <w:rPr>
                <w:rFonts w:hint="eastAsia" w:ascii="宋体" w:hAnsi="宋体" w:eastAsia="宋体" w:cs="宋体"/>
                <w:color w:val="auto"/>
                <w:kern w:val="0"/>
                <w:sz w:val="20"/>
                <w:szCs w:val="20"/>
                <w:lang w:val="en-US" w:eastAsia="zh-CN" w:bidi="ar"/>
              </w:rPr>
              <w:t>纠正</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2" w:right="0"/>
              <w:jc w:val="center"/>
              <w:textAlignment w:val="auto"/>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2" w:right="0"/>
              <w:jc w:val="center"/>
              <w:textAlignment w:val="auto"/>
            </w:pPr>
            <w:r>
              <w:rPr>
                <w:rFonts w:hint="eastAsia" w:ascii="宋体" w:hAnsi="宋体" w:eastAsia="宋体" w:cs="宋体"/>
                <w:color w:val="auto"/>
                <w:kern w:val="0"/>
                <w:sz w:val="20"/>
                <w:szCs w:val="20"/>
                <w:lang w:val="en-US" w:eastAsia="zh-CN" w:bidi="ar"/>
              </w:rPr>
              <w:t>结果</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8" w:right="0"/>
              <w:jc w:val="center"/>
              <w:textAlignment w:val="auto"/>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8" w:right="0"/>
              <w:jc w:val="center"/>
              <w:textAlignment w:val="auto"/>
            </w:pPr>
            <w:r>
              <w:rPr>
                <w:rFonts w:hint="eastAsia" w:ascii="宋体" w:hAnsi="宋体" w:eastAsia="宋体" w:cs="宋体"/>
                <w:color w:val="auto"/>
                <w:kern w:val="0"/>
                <w:sz w:val="20"/>
                <w:szCs w:val="20"/>
                <w:lang w:val="en-US" w:eastAsia="zh-CN" w:bidi="ar"/>
              </w:rPr>
              <w:t>审结</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11" w:right="0"/>
              <w:jc w:val="center"/>
              <w:textAlignment w:val="auto"/>
            </w:pPr>
            <w:r>
              <w:rPr>
                <w:rFonts w:hint="eastAsia" w:ascii="宋体" w:hAnsi="宋体" w:eastAsia="宋体" w:cs="宋体"/>
                <w:color w:val="auto"/>
                <w:kern w:val="0"/>
                <w:sz w:val="20"/>
                <w:szCs w:val="20"/>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11" w:right="0"/>
              <w:jc w:val="center"/>
              <w:textAlignment w:val="auto"/>
            </w:pPr>
            <w:r>
              <w:rPr>
                <w:rFonts w:hint="eastAsia" w:ascii="宋体" w:hAnsi="宋体" w:eastAsia="宋体" w:cs="宋体"/>
                <w:color w:val="auto"/>
                <w:kern w:val="0"/>
                <w:sz w:val="20"/>
                <w:szCs w:val="20"/>
                <w:lang w:val="en-US" w:eastAsia="zh-CN" w:bidi="ar"/>
              </w:rPr>
              <w:t>计</w:t>
            </w:r>
          </w:p>
        </w:tc>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未经复议直接起诉</w:t>
            </w:r>
          </w:p>
        </w:tc>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维持</w:t>
            </w: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纠正</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结果</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审结</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计</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维持</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纠正</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结果</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审结</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auto"/>
                <w:kern w:val="0"/>
                <w:sz w:val="20"/>
                <w:szCs w:val="20"/>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auto"/>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1、存在问题：一是信息公开意识有待提高。二是信息公开与信访保密工作拿捏不够准确，导致公开工作不够全面。</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改进措施：一是对照《中华人民共和国政府信息公开条例》的具体要求，认真清理政府信息公开事项，查漏补缺，不断完善信息公开内容；二是加强政务公开工作与信访业务工作的有效融合，分析研判职责，厘清交织事项；三是不断增强干部对</w:t>
      </w:r>
      <w:bookmarkStart w:id="0" w:name="_GoBack"/>
      <w:bookmarkEnd w:id="0"/>
      <w:r>
        <w:rPr>
          <w:rFonts w:hint="eastAsia" w:ascii="仿宋_GB2312" w:hAnsi="仿宋_GB2312" w:eastAsia="仿宋_GB2312" w:cs="仿宋_GB2312"/>
          <w:i w:val="0"/>
          <w:caps w:val="0"/>
          <w:color w:val="000000"/>
          <w:spacing w:val="0"/>
          <w:kern w:val="0"/>
          <w:sz w:val="32"/>
          <w:szCs w:val="32"/>
          <w:lang w:val="en-US" w:eastAsia="zh-CN" w:bidi="ar"/>
        </w:rPr>
        <w:t>政务公开的责任意识、大局意识、服务意识，确保政务信息公开工作及时、准确，更好地便捷公众，服务人民。</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无</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方正公文小标宋"/>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仿宋_GB2312"/>
    <w:panose1 w:val="00000000000000000000"/>
    <w:charset w:val="00"/>
    <w:family w:val="auto"/>
    <w:pitch w:val="default"/>
    <w:sig w:usb0="00000000" w:usb1="00000000" w:usb2="00000000" w:usb3="00000000" w:csb0="0000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DczNzE4YTJkN2YzMGU5OWZlNWZiZTkwNDI2YzIifQ=="/>
  </w:docVars>
  <w:rsids>
    <w:rsidRoot w:val="00000000"/>
    <w:rsid w:val="2AB5007C"/>
    <w:rsid w:val="35ED063D"/>
    <w:rsid w:val="6A767F43"/>
    <w:rsid w:val="8DDA74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ankang</dc:creator>
  <cp:lastModifiedBy>WPS_1665049230</cp:lastModifiedBy>
  <dcterms:modified xsi:type="dcterms:W3CDTF">2023-05-04T03:31:41Z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59FE898C9DAB4AC49B266C005F0A691F_12</vt:lpwstr>
  </property>
</Properties>
</file>