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olor w:val="000000"/>
          <w:spacing w:val="-11"/>
          <w:sz w:val="44"/>
          <w:szCs w:val="44"/>
          <w:lang w:val="en-US" w:eastAsia="zh-CN"/>
        </w:rPr>
      </w:pPr>
      <w:r>
        <w:rPr>
          <w:rFonts w:eastAsia="黑体"/>
          <w:color w:val="000000"/>
          <w:spacing w:val="-11"/>
          <w:sz w:val="32"/>
          <w:szCs w:val="32"/>
        </w:rPr>
        <w:t>附件</w:t>
      </w:r>
      <w:r>
        <w:rPr>
          <w:rFonts w:hint="eastAsia" w:eastAsia="黑体"/>
          <w:color w:val="000000"/>
          <w:spacing w:val="-11"/>
          <w:sz w:val="32"/>
          <w:szCs w:val="32"/>
          <w:lang w:val="en-US" w:eastAsia="zh-CN"/>
        </w:rPr>
        <w:t>6</w:t>
      </w:r>
      <w:bookmarkStart w:id="0" w:name="_GoBack"/>
      <w:bookmarkEnd w:id="0"/>
    </w:p>
    <w:p>
      <w:pPr>
        <w:adjustRightInd w:val="0"/>
        <w:snapToGrid w:val="0"/>
        <w:jc w:val="center"/>
        <w:rPr>
          <w:rFonts w:ascii="宋体" w:hAnsi="宋体" w:cs="宋体"/>
          <w:color w:val="000000"/>
          <w:spacing w:val="-11"/>
          <w:sz w:val="44"/>
          <w:szCs w:val="44"/>
        </w:rPr>
      </w:pPr>
      <w:r>
        <w:rPr>
          <w:rFonts w:ascii="方正小标宋简体" w:hAnsi="方正小标宋简体" w:eastAsia="方正小标宋简体" w:cs="方正小标宋简体"/>
          <w:color w:val="000000"/>
          <w:spacing w:val="-11"/>
          <w:sz w:val="44"/>
          <w:szCs w:val="44"/>
        </w:rPr>
        <w:t>陕西省第四轮“316工程”学校高质量发展督导评价</w:t>
      </w:r>
      <w:r>
        <w:rPr>
          <w:rFonts w:hint="eastAsia" w:eastAsia="方正小标宋简体"/>
          <w:color w:val="000000"/>
          <w:spacing w:val="-11"/>
          <w:sz w:val="44"/>
          <w:szCs w:val="44"/>
        </w:rPr>
        <w:t>普通高中学校</w:t>
      </w:r>
      <w:r>
        <w:rPr>
          <w:rFonts w:ascii="方正小标宋简体" w:hAnsi="方正小标宋简体" w:eastAsia="方正小标宋简体" w:cs="方正小标宋简体"/>
          <w:color w:val="000000"/>
          <w:spacing w:val="-11"/>
          <w:sz w:val="44"/>
          <w:szCs w:val="44"/>
        </w:rPr>
        <w:t>指标体系</w:t>
      </w:r>
    </w:p>
    <w:tbl>
      <w:tblPr>
        <w:tblStyle w:val="4"/>
        <w:tblW w:w="151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1429"/>
        <w:gridCol w:w="1123"/>
        <w:gridCol w:w="809"/>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55" w:type="dxa"/>
            <w:vAlign w:val="center"/>
          </w:tcPr>
          <w:p>
            <w:pPr>
              <w:adjustRightInd w:val="0"/>
              <w:snapToGrid w:val="0"/>
              <w:jc w:val="center"/>
              <w:rPr>
                <w:rFonts w:hint="eastAsia" w:cs="宋体"/>
                <w:color w:val="000000"/>
                <w:szCs w:val="21"/>
              </w:rPr>
            </w:pPr>
            <w:r>
              <w:rPr>
                <w:rFonts w:hint="eastAsia" w:cs="宋体"/>
                <w:color w:val="000000"/>
                <w:szCs w:val="21"/>
              </w:rPr>
              <w:t>一级指标</w:t>
            </w:r>
          </w:p>
        </w:tc>
        <w:tc>
          <w:tcPr>
            <w:tcW w:w="11429" w:type="dxa"/>
            <w:tcMar>
              <w:top w:w="57" w:type="dxa"/>
              <w:bottom w:w="57" w:type="dxa"/>
            </w:tcMar>
            <w:vAlign w:val="center"/>
          </w:tcPr>
          <w:p>
            <w:pPr>
              <w:adjustRightInd w:val="0"/>
              <w:snapToGrid w:val="0"/>
              <w:jc w:val="center"/>
              <w:rPr>
                <w:rFonts w:hint="eastAsia" w:cs="宋体"/>
                <w:color w:val="000000"/>
                <w:szCs w:val="21"/>
              </w:rPr>
            </w:pPr>
            <w:r>
              <w:rPr>
                <w:rFonts w:hint="eastAsia" w:cs="宋体"/>
                <w:color w:val="000000"/>
                <w:szCs w:val="21"/>
              </w:rPr>
              <w:t>二级指标及评</w:t>
            </w:r>
            <w:r>
              <w:rPr>
                <w:rFonts w:hint="eastAsia"/>
                <w:color w:val="000000"/>
                <w:szCs w:val="21"/>
              </w:rPr>
              <w:t>价</w:t>
            </w:r>
            <w:r>
              <w:rPr>
                <w:rFonts w:hint="eastAsia" w:cs="宋体"/>
                <w:color w:val="000000"/>
                <w:szCs w:val="21"/>
              </w:rPr>
              <w:t>内容</w:t>
            </w:r>
          </w:p>
        </w:tc>
        <w:tc>
          <w:tcPr>
            <w:tcW w:w="1123" w:type="dxa"/>
            <w:vAlign w:val="center"/>
          </w:tcPr>
          <w:p>
            <w:pPr>
              <w:adjustRightInd w:val="0"/>
              <w:snapToGrid w:val="0"/>
              <w:jc w:val="center"/>
              <w:rPr>
                <w:rFonts w:hint="eastAsia" w:cs="宋体"/>
                <w:color w:val="000000"/>
                <w:szCs w:val="21"/>
              </w:rPr>
            </w:pPr>
            <w:r>
              <w:rPr>
                <w:rFonts w:hint="eastAsia" w:cs="宋体"/>
                <w:color w:val="000000"/>
                <w:szCs w:val="21"/>
              </w:rPr>
              <w:t>评分标准</w:t>
            </w:r>
          </w:p>
        </w:tc>
        <w:tc>
          <w:tcPr>
            <w:tcW w:w="809" w:type="dxa"/>
            <w:vAlign w:val="center"/>
          </w:tcPr>
          <w:p>
            <w:pPr>
              <w:adjustRightInd w:val="0"/>
              <w:snapToGrid w:val="0"/>
              <w:jc w:val="center"/>
              <w:rPr>
                <w:rFonts w:hint="eastAsia" w:cs="宋体"/>
                <w:color w:val="000000"/>
                <w:szCs w:val="21"/>
              </w:rPr>
            </w:pPr>
            <w:r>
              <w:rPr>
                <w:rFonts w:hint="eastAsia" w:cs="宋体"/>
                <w:color w:val="000000"/>
                <w:szCs w:val="21"/>
              </w:rPr>
              <w:t>分值</w:t>
            </w:r>
          </w:p>
        </w:tc>
        <w:tc>
          <w:tcPr>
            <w:tcW w:w="653" w:type="dxa"/>
            <w:vAlign w:val="center"/>
          </w:tcPr>
          <w:p>
            <w:pPr>
              <w:adjustRightInd w:val="0"/>
              <w:snapToGrid w:val="0"/>
              <w:jc w:val="center"/>
              <w:rPr>
                <w:rFonts w:hint="eastAsia" w:cs="宋体"/>
                <w:color w:val="000000"/>
                <w:szCs w:val="21"/>
              </w:rPr>
            </w:pPr>
            <w:r>
              <w:rPr>
                <w:rFonts w:hint="eastAsia" w:cs="宋体"/>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1155" w:type="dxa"/>
            <w:vMerge w:val="restart"/>
            <w:vAlign w:val="center"/>
          </w:tcPr>
          <w:p>
            <w:pPr>
              <w:adjustRightInd w:val="0"/>
              <w:snapToGrid w:val="0"/>
              <w:jc w:val="center"/>
              <w:rPr>
                <w:rFonts w:cs="宋体"/>
                <w:color w:val="000000"/>
                <w:szCs w:val="21"/>
              </w:rPr>
            </w:pPr>
            <w:r>
              <w:rPr>
                <w:rFonts w:hint="eastAsia" w:cs="宋体"/>
                <w:color w:val="000000"/>
                <w:szCs w:val="21"/>
              </w:rPr>
              <w:t>一、坚持社会主义办学方向（120分）</w:t>
            </w:r>
          </w:p>
        </w:tc>
        <w:tc>
          <w:tcPr>
            <w:tcW w:w="11429" w:type="dxa"/>
            <w:tcMar>
              <w:top w:w="57" w:type="dxa"/>
              <w:bottom w:w="57" w:type="dxa"/>
            </w:tcMar>
            <w:vAlign w:val="center"/>
          </w:tcPr>
          <w:p>
            <w:pPr>
              <w:adjustRightInd w:val="0"/>
              <w:snapToGrid w:val="0"/>
              <w:ind w:firstLine="420"/>
              <w:rPr>
                <w:rFonts w:cs="宋体"/>
                <w:color w:val="000000"/>
                <w:szCs w:val="21"/>
              </w:rPr>
            </w:pPr>
            <w:r>
              <w:rPr>
                <w:rFonts w:hint="eastAsia" w:cs="宋体"/>
                <w:b/>
                <w:color w:val="000000"/>
                <w:szCs w:val="21"/>
              </w:rPr>
              <w:t>1.党的建设。</w:t>
            </w:r>
            <w:r>
              <w:rPr>
                <w:rFonts w:hint="eastAsia" w:cs="宋体"/>
                <w:color w:val="000000"/>
                <w:szCs w:val="21"/>
              </w:rPr>
              <w:t>加强党对教育工作的全面领导，健全党组织对学校工作领导的制度机制；以政治建设为统领，推进党的工作与教育教学工作紧密融合，把政治标准和政治要求贯彻到办学治校全过程、各方面；落实学校党的组织和党的工作全覆盖，</w:t>
            </w:r>
            <w:r>
              <w:rPr>
                <w:rFonts w:cs="宋体"/>
                <w:color w:val="000000"/>
                <w:szCs w:val="21"/>
              </w:rPr>
              <w:t>按照</w:t>
            </w:r>
            <w:r>
              <w:rPr>
                <w:rFonts w:hint="eastAsia" w:cs="宋体"/>
                <w:color w:val="000000"/>
                <w:spacing w:val="-6"/>
                <w:szCs w:val="21"/>
              </w:rPr>
              <w:t>《中国共产党章程》</w:t>
            </w:r>
            <w:r>
              <w:rPr>
                <w:rFonts w:cs="宋体"/>
                <w:color w:val="000000"/>
                <w:szCs w:val="21"/>
              </w:rPr>
              <w:t>等要求规范党的组织设置，理顺党组织隶属关系，健全党务工作机构，充实专兼职党务工作力量，</w:t>
            </w:r>
            <w:r>
              <w:rPr>
                <w:rFonts w:hint="eastAsia" w:cs="宋体"/>
                <w:color w:val="000000"/>
                <w:szCs w:val="21"/>
              </w:rPr>
              <w:t>“三会一课” 制度化，主题教育活动常态化；党支部战斗堡垒作用明显，全体党员坚持“两个确立”、增强“四个意识”、坚定“四个自信”、做到“两个维护”，充分发挥先锋模范作用；坚持民主集中制原则，</w:t>
            </w:r>
            <w:r>
              <w:rPr>
                <w:rFonts w:cs="宋体"/>
                <w:color w:val="000000"/>
                <w:szCs w:val="21"/>
              </w:rPr>
              <w:t>正常</w:t>
            </w:r>
            <w:r>
              <w:rPr>
                <w:rFonts w:hint="eastAsia" w:cs="宋体"/>
                <w:color w:val="000000"/>
                <w:szCs w:val="21"/>
              </w:rPr>
              <w:t>开展</w:t>
            </w:r>
            <w:r>
              <w:rPr>
                <w:rFonts w:cs="宋体"/>
                <w:color w:val="000000"/>
                <w:szCs w:val="21"/>
              </w:rPr>
              <w:t>组织生活</w:t>
            </w:r>
            <w:r>
              <w:rPr>
                <w:rFonts w:hint="eastAsia" w:cs="宋体"/>
                <w:color w:val="000000"/>
                <w:szCs w:val="21"/>
              </w:rPr>
              <w:t>；落实党风廉政建设责任制和意识形态工作责任制；坚持党建带团建，充分发挥学校工会、共青团等群团组织作用；党建工作载体丰富，特色鲜明，教职工对学校党建工作满意度达到95%以上。</w:t>
            </w:r>
          </w:p>
        </w:tc>
        <w:tc>
          <w:tcPr>
            <w:tcW w:w="1123" w:type="dxa"/>
            <w:vAlign w:val="center"/>
          </w:tcPr>
          <w:p>
            <w:pPr>
              <w:adjustRightInd w:val="0"/>
              <w:snapToGrid w:val="0"/>
              <w:rPr>
                <w:rFonts w:cs="宋体"/>
                <w:color w:val="000000"/>
                <w:szCs w:val="21"/>
              </w:rPr>
            </w:pPr>
            <w:r>
              <w:rPr>
                <w:rFonts w:hint="eastAsia" w:cs="宋体"/>
                <w:color w:val="000000"/>
                <w:szCs w:val="21"/>
              </w:rPr>
              <w:t>共8项，每项3分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24分</w:t>
            </w:r>
          </w:p>
        </w:tc>
        <w:tc>
          <w:tcPr>
            <w:tcW w:w="653"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rPr>
                <w:rFonts w:cs="宋体"/>
                <w:color w:val="000000"/>
                <w:szCs w:val="21"/>
              </w:rPr>
            </w:pPr>
            <w:r>
              <w:rPr>
                <w:rFonts w:hint="eastAsia" w:cs="宋体"/>
                <w:b/>
                <w:color w:val="000000"/>
                <w:szCs w:val="21"/>
              </w:rPr>
              <w:t xml:space="preserve">    2.立德树人。</w:t>
            </w:r>
            <w:r>
              <w:rPr>
                <w:rFonts w:hint="eastAsia" w:cs="宋体"/>
                <w:color w:val="000000"/>
                <w:szCs w:val="21"/>
              </w:rPr>
              <w:t>全面</w:t>
            </w:r>
            <w:r>
              <w:rPr>
                <w:rFonts w:hint="eastAsia" w:cs="宋体"/>
                <w:bCs/>
                <w:color w:val="000000"/>
                <w:szCs w:val="21"/>
              </w:rPr>
              <w:t>贯彻党的教育方针，</w:t>
            </w:r>
            <w:r>
              <w:rPr>
                <w:rFonts w:hint="eastAsia" w:cs="宋体"/>
                <w:color w:val="000000"/>
                <w:szCs w:val="21"/>
              </w:rPr>
              <w:t>坚持社会主义办学方向，</w:t>
            </w:r>
            <w:r>
              <w:rPr>
                <w:rFonts w:hint="eastAsia" w:cs="宋体"/>
                <w:bCs/>
                <w:color w:val="000000"/>
                <w:szCs w:val="21"/>
              </w:rPr>
              <w:t>将党的</w:t>
            </w:r>
            <w:r>
              <w:rPr>
                <w:rFonts w:hint="eastAsia" w:cs="宋体"/>
                <w:color w:val="000000"/>
                <w:szCs w:val="21"/>
              </w:rPr>
              <w:t>教育方针有效融入教书育人全过程，在校园醒目位置和会议室布置宣传党的教育方针的内容</w:t>
            </w:r>
            <w:r>
              <w:rPr>
                <w:rFonts w:hint="eastAsia" w:cs="宋体"/>
                <w:bCs/>
                <w:color w:val="000000"/>
                <w:szCs w:val="21"/>
              </w:rPr>
              <w:t>；坚持育人为本，树立科学教育质量观和正确办学理念</w:t>
            </w:r>
            <w:r>
              <w:rPr>
                <w:rFonts w:hint="eastAsia" w:cs="宋体"/>
                <w:color w:val="000000"/>
                <w:szCs w:val="21"/>
              </w:rPr>
              <w:t>，</w:t>
            </w:r>
            <w:r>
              <w:rPr>
                <w:rFonts w:hint="eastAsia" w:cs="宋体"/>
                <w:bCs/>
                <w:color w:val="000000"/>
                <w:szCs w:val="21"/>
              </w:rPr>
              <w:t>大力发展素质教育</w:t>
            </w:r>
            <w:r>
              <w:rPr>
                <w:rFonts w:hint="eastAsia" w:cs="宋体"/>
                <w:color w:val="000000"/>
                <w:szCs w:val="21"/>
              </w:rPr>
              <w:t>，</w:t>
            </w:r>
            <w:r>
              <w:rPr>
                <w:rFonts w:hint="eastAsia" w:cs="宋体"/>
                <w:bCs/>
                <w:color w:val="000000"/>
                <w:szCs w:val="21"/>
              </w:rPr>
              <w:t>坚持全员、全过程、全方位育人，注重因材施教，促进学生全面而有个性的发展；</w:t>
            </w:r>
            <w:r>
              <w:rPr>
                <w:rFonts w:hint="eastAsia" w:cs="宋体"/>
                <w:color w:val="000000"/>
                <w:szCs w:val="21"/>
              </w:rPr>
              <w:t>落实立德树人根本任务，制定</w:t>
            </w:r>
            <w:r>
              <w:rPr>
                <w:rFonts w:hint="eastAsia" w:cs="宋体"/>
                <w:bCs/>
                <w:color w:val="000000"/>
                <w:szCs w:val="21"/>
              </w:rPr>
              <w:t>方案并有</w:t>
            </w:r>
            <w:r>
              <w:rPr>
                <w:rFonts w:hint="eastAsia" w:cs="宋体"/>
                <w:color w:val="000000"/>
                <w:szCs w:val="21"/>
              </w:rPr>
              <w:t>效实施《中小学德育工作指南》；学校德育工作机构健全，德育工作有规划、有计划、有总结；把德育与智育、体育、美育、劳动实践教育有机结合，融入学生学习生活全过程；丰富德育工作内容，建立德育基地，用好校内外各类德育资源，广泛开展理想信念、家国情怀、时代精神、社会责任等各种德育活动；</w:t>
            </w:r>
            <w:r>
              <w:rPr>
                <w:rFonts w:hint="eastAsia"/>
                <w:color w:val="000000"/>
              </w:rPr>
              <w:t>按照高中思想政治等课程相关要求，持续推进习近平法治思想进教材、进课堂、进头脑，</w:t>
            </w:r>
            <w:r>
              <w:rPr>
                <w:rFonts w:hint="eastAsia" w:cs="宋体"/>
                <w:color w:val="000000"/>
                <w:szCs w:val="21"/>
              </w:rPr>
              <w:t>完善德育工作载体，德育工作符合学生学习生活实际，落细、落小、落实，体现时代性、科学性、实效性；建设数字化德育平台，拓宽网络德育空间。</w:t>
            </w:r>
          </w:p>
        </w:tc>
        <w:tc>
          <w:tcPr>
            <w:tcW w:w="1123" w:type="dxa"/>
            <w:vAlign w:val="center"/>
          </w:tcPr>
          <w:p>
            <w:pPr>
              <w:adjustRightInd w:val="0"/>
              <w:snapToGrid w:val="0"/>
              <w:rPr>
                <w:rFonts w:cs="宋体"/>
                <w:color w:val="000000"/>
                <w:szCs w:val="21"/>
              </w:rPr>
            </w:pPr>
            <w:r>
              <w:rPr>
                <w:rFonts w:hint="eastAsia" w:cs="宋体"/>
                <w:color w:val="000000"/>
                <w:szCs w:val="21"/>
              </w:rPr>
              <w:t>共8项，每项3分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24分</w:t>
            </w:r>
          </w:p>
        </w:tc>
        <w:tc>
          <w:tcPr>
            <w:tcW w:w="653"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rPr>
                <w:rFonts w:cs="宋体"/>
                <w:bCs/>
                <w:color w:val="000000"/>
                <w:szCs w:val="21"/>
              </w:rPr>
            </w:pPr>
            <w:r>
              <w:rPr>
                <w:rFonts w:hint="eastAsia" w:cs="宋体"/>
                <w:b/>
                <w:bCs/>
                <w:color w:val="000000"/>
                <w:szCs w:val="21"/>
              </w:rPr>
              <w:t xml:space="preserve">    3.培育和践行社会主义核心价值观。</w:t>
            </w:r>
            <w:r>
              <w:rPr>
                <w:rFonts w:hint="eastAsia" w:cs="宋体"/>
                <w:bCs/>
                <w:color w:val="000000"/>
                <w:szCs w:val="21"/>
              </w:rPr>
              <w:t>把</w:t>
            </w:r>
            <w:r>
              <w:rPr>
                <w:rFonts w:hint="eastAsia" w:cs="宋体"/>
                <w:color w:val="000000"/>
                <w:szCs w:val="21"/>
              </w:rPr>
              <w:t>社会主义核心价值观的基本要求融入教育教学全过程；学校设置社会主义核心价值观宣传内容，师生熟知内容，开展红色文化教育等活动，传承红色基因，引导师生树立中国特色社会主义道路自信、理论自信、制度自信、文化自信，引导师生爱党、爱国、爱人民、爱社会主义，树立正确的世界观、人生观、价值观，审美观、学业观和职业观；开展遵纪守法、诚实守信、文明礼貌、节约环保、团结友爱、感恩怀德等主题系列活动，培养学生社会责任感、创新精神和实践能力；组织学生参加力所能及的志愿服务和社会公益活动；组织学生到博物馆、科技馆、青少年校外活动中心、中小学综合实践活动基地等社会教育场所开展综合实践活动。</w:t>
            </w:r>
          </w:p>
        </w:tc>
        <w:tc>
          <w:tcPr>
            <w:tcW w:w="1123" w:type="dxa"/>
            <w:vAlign w:val="center"/>
          </w:tcPr>
          <w:p>
            <w:pPr>
              <w:adjustRightInd w:val="0"/>
              <w:snapToGrid w:val="0"/>
              <w:rPr>
                <w:rFonts w:cs="宋体"/>
                <w:color w:val="000000"/>
                <w:szCs w:val="21"/>
              </w:rPr>
            </w:pPr>
            <w:r>
              <w:rPr>
                <w:rFonts w:hint="eastAsia" w:cs="宋体"/>
                <w:color w:val="000000"/>
                <w:szCs w:val="21"/>
              </w:rPr>
              <w:t>共5项，每项2分</w:t>
            </w:r>
          </w:p>
        </w:tc>
        <w:tc>
          <w:tcPr>
            <w:tcW w:w="809" w:type="dxa"/>
            <w:vAlign w:val="center"/>
          </w:tcPr>
          <w:p>
            <w:pPr>
              <w:adjustRightInd w:val="0"/>
              <w:snapToGrid w:val="0"/>
              <w:jc w:val="center"/>
              <w:rPr>
                <w:rFonts w:cs="宋体"/>
                <w:color w:val="000000"/>
                <w:szCs w:val="21"/>
              </w:rPr>
            </w:pPr>
            <w:r>
              <w:rPr>
                <w:rFonts w:hint="eastAsia" w:cs="宋体"/>
                <w:color w:val="000000"/>
                <w:szCs w:val="21"/>
              </w:rPr>
              <w:t>10分</w:t>
            </w:r>
          </w:p>
        </w:tc>
        <w:tc>
          <w:tcPr>
            <w:tcW w:w="653"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jc w:val="center"/>
              <w:rPr>
                <w:rFonts w:cs="宋体"/>
                <w:color w:val="000000"/>
                <w:szCs w:val="21"/>
              </w:rPr>
            </w:pPr>
          </w:p>
        </w:tc>
        <w:tc>
          <w:tcPr>
            <w:tcW w:w="11429" w:type="dxa"/>
            <w:tcMar>
              <w:top w:w="57" w:type="dxa"/>
              <w:bottom w:w="57" w:type="dxa"/>
            </w:tcMar>
            <w:vAlign w:val="center"/>
          </w:tcPr>
          <w:p>
            <w:pPr>
              <w:adjustRightInd w:val="0"/>
              <w:snapToGrid w:val="0"/>
              <w:rPr>
                <w:rFonts w:cs="宋体"/>
                <w:b/>
                <w:color w:val="000000"/>
                <w:szCs w:val="21"/>
              </w:rPr>
            </w:pPr>
            <w:r>
              <w:rPr>
                <w:rFonts w:hint="eastAsia" w:cs="宋体"/>
                <w:b/>
                <w:color w:val="000000"/>
                <w:szCs w:val="21"/>
              </w:rPr>
              <w:t xml:space="preserve">    4.传承和弘扬中华优秀传统文化。</w:t>
            </w:r>
            <w:r>
              <w:rPr>
                <w:rFonts w:hint="eastAsia" w:cs="宋体"/>
                <w:color w:val="000000"/>
                <w:szCs w:val="21"/>
              </w:rPr>
              <w:t>大力弘扬以爱国主义为核心的民族精神和以改革创新为核心的时代精神；大力开展习近平新时代中国特色社会主义思想宣传教育和中国梦主题教育活动；开展传承中华传统美德系列教育活动，开展“家训、家规、家教、家风”征文、主题班会、演讲等活动；把中华优秀传统文化教育系统融入课程体系；将经典诵读、规范汉字书写、中华礼仪、传统技艺等融入必修课、地方课程和校本课程，课堂教学、社团活动渗透中华优秀传统文化教育；“三风一训”体现优秀文化的传承与发扬。</w:t>
            </w:r>
          </w:p>
        </w:tc>
        <w:tc>
          <w:tcPr>
            <w:tcW w:w="1123" w:type="dxa"/>
            <w:vAlign w:val="center"/>
          </w:tcPr>
          <w:p>
            <w:pPr>
              <w:adjustRightInd w:val="0"/>
              <w:snapToGrid w:val="0"/>
              <w:rPr>
                <w:rFonts w:cs="宋体"/>
                <w:color w:val="000000"/>
                <w:szCs w:val="21"/>
              </w:rPr>
            </w:pPr>
            <w:r>
              <w:rPr>
                <w:rFonts w:hint="eastAsia" w:cs="宋体"/>
                <w:color w:val="000000"/>
                <w:szCs w:val="21"/>
              </w:rPr>
              <w:t>共6项，每项3分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18分</w:t>
            </w:r>
          </w:p>
        </w:tc>
        <w:tc>
          <w:tcPr>
            <w:tcW w:w="653"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ind w:firstLine="422" w:firstLineChars="200"/>
              <w:rPr>
                <w:rFonts w:cs="宋体"/>
                <w:b/>
                <w:color w:val="000000"/>
                <w:szCs w:val="21"/>
              </w:rPr>
            </w:pPr>
            <w:r>
              <w:rPr>
                <w:rFonts w:hint="eastAsia" w:cs="宋体"/>
                <w:b/>
                <w:color w:val="000000"/>
                <w:szCs w:val="21"/>
              </w:rPr>
              <w:t>5.理念科学。</w:t>
            </w:r>
            <w:r>
              <w:rPr>
                <w:rFonts w:hint="eastAsia" w:cs="宋体"/>
                <w:color w:val="000000"/>
                <w:szCs w:val="21"/>
              </w:rPr>
              <w:t>确立更高质量的高中教育发展定位，全面实施新课程、新教材与新高考改革；从传统高中教育向现代高中教育转型，从千校一面向多样化特色化发展，从应试本位向高质量全面发展的育人本位转变；建立更加全面的高中教育培育体系，突出德育实效，提升育人水平，强化体育锻炼，增强美育熏陶，加强实践育人和劳动教育；建立更加全面的高中教育育人体系、更加完善的高中教育评价体系和更富活力的高中教育生态环境；扭转片面应试教育，提高育人水平，为学生适应社会生活，接受高等教育和未来职业发展打好基础。</w:t>
            </w:r>
          </w:p>
        </w:tc>
        <w:tc>
          <w:tcPr>
            <w:tcW w:w="1123" w:type="dxa"/>
            <w:vAlign w:val="center"/>
          </w:tcPr>
          <w:p>
            <w:pPr>
              <w:adjustRightInd w:val="0"/>
              <w:snapToGrid w:val="0"/>
              <w:rPr>
                <w:rFonts w:cs="宋体"/>
                <w:color w:val="000000"/>
                <w:szCs w:val="21"/>
              </w:rPr>
            </w:pPr>
            <w:r>
              <w:rPr>
                <w:rFonts w:hint="eastAsia" w:cs="宋体"/>
                <w:color w:val="000000"/>
                <w:szCs w:val="21"/>
              </w:rPr>
              <w:t>共5项，每项4分</w:t>
            </w:r>
          </w:p>
        </w:tc>
        <w:tc>
          <w:tcPr>
            <w:tcW w:w="809" w:type="dxa"/>
            <w:vAlign w:val="center"/>
          </w:tcPr>
          <w:p>
            <w:pPr>
              <w:adjustRightInd w:val="0"/>
              <w:snapToGrid w:val="0"/>
              <w:jc w:val="center"/>
              <w:rPr>
                <w:rFonts w:cs="宋体"/>
                <w:color w:val="000000"/>
                <w:szCs w:val="21"/>
              </w:rPr>
            </w:pPr>
            <w:r>
              <w:rPr>
                <w:rFonts w:hint="eastAsia" w:cs="宋体"/>
                <w:color w:val="000000"/>
                <w:szCs w:val="21"/>
              </w:rPr>
              <w:t>20分</w:t>
            </w:r>
          </w:p>
        </w:tc>
        <w:tc>
          <w:tcPr>
            <w:tcW w:w="653" w:type="dxa"/>
            <w:vAlign w:val="center"/>
          </w:tcPr>
          <w:p>
            <w:pPr>
              <w:adjustRightInd w:val="0"/>
              <w:snapToGrid w:val="0"/>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170" w:type="dxa"/>
              <w:bottom w:w="170" w:type="dxa"/>
            </w:tcMar>
            <w:vAlign w:val="center"/>
          </w:tcPr>
          <w:p>
            <w:pPr>
              <w:adjustRightInd w:val="0"/>
              <w:snapToGrid w:val="0"/>
              <w:ind w:firstLine="422" w:firstLineChars="200"/>
              <w:rPr>
                <w:rFonts w:cs="宋体"/>
                <w:b/>
                <w:color w:val="000000"/>
                <w:szCs w:val="21"/>
              </w:rPr>
            </w:pPr>
            <w:r>
              <w:rPr>
                <w:rFonts w:hint="eastAsia" w:cs="宋体"/>
                <w:b/>
                <w:color w:val="000000"/>
                <w:szCs w:val="21"/>
              </w:rPr>
              <w:t>6.规范办学。</w:t>
            </w:r>
            <w:r>
              <w:rPr>
                <w:rFonts w:hint="eastAsia" w:cs="宋体"/>
                <w:color w:val="000000"/>
                <w:szCs w:val="21"/>
              </w:rPr>
              <w:t>不以各种名义占用节假日、双休日、寒暑假和课余时间组织非毕业年级学生补课，无任何形式的有偿补课，不组织、宣传、引导、暗示学生到校外参与有偿课外辅导；不以任何理由、任何形式强制学生订购教辅材料；不违背学生个人志愿要求选考特定科目，坚决避免功利化选科选考；不以任何形式公布、宣传学生高考相关信息；学生各类信息管理规范，无泄露学生学籍信息、高考考生报名信息、考试成绩以及录取信息等；不以任何名义对学生进行罚款；无未经批准以国际部、国际课程班等名义开展涉外办学活动；不给年级、班级、教师下达升学指标，不将升学率与教师评优评先及职称晋升挂钩，不公布、不宣传、不炒作高考状元和升学率。</w:t>
            </w:r>
          </w:p>
        </w:tc>
        <w:tc>
          <w:tcPr>
            <w:tcW w:w="1123" w:type="dxa"/>
            <w:vAlign w:val="center"/>
          </w:tcPr>
          <w:p>
            <w:pPr>
              <w:adjustRightInd w:val="0"/>
              <w:snapToGrid w:val="0"/>
              <w:rPr>
                <w:rFonts w:cs="宋体"/>
                <w:color w:val="000000"/>
                <w:szCs w:val="21"/>
              </w:rPr>
            </w:pPr>
            <w:r>
              <w:rPr>
                <w:rFonts w:hint="eastAsia" w:cs="宋体"/>
                <w:color w:val="000000"/>
                <w:szCs w:val="21"/>
              </w:rPr>
              <w:t>共8项，每项3分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24分</w:t>
            </w:r>
          </w:p>
        </w:tc>
        <w:tc>
          <w:tcPr>
            <w:tcW w:w="653"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trPr>
        <w:tc>
          <w:tcPr>
            <w:tcW w:w="1155" w:type="dxa"/>
            <w:vMerge w:val="restart"/>
            <w:vAlign w:val="center"/>
          </w:tcPr>
          <w:p>
            <w:pPr>
              <w:adjustRightInd w:val="0"/>
              <w:snapToGrid w:val="0"/>
              <w:jc w:val="center"/>
              <w:rPr>
                <w:rFonts w:hint="eastAsia" w:cs="宋体"/>
                <w:color w:val="000000"/>
                <w:szCs w:val="21"/>
              </w:rPr>
            </w:pPr>
            <w:r>
              <w:rPr>
                <w:rFonts w:hint="eastAsia" w:cs="宋体"/>
                <w:color w:val="000000"/>
                <w:szCs w:val="21"/>
              </w:rPr>
              <w:t>二、优化内部管理</w:t>
            </w:r>
          </w:p>
          <w:p>
            <w:pPr>
              <w:adjustRightInd w:val="0"/>
              <w:snapToGrid w:val="0"/>
              <w:jc w:val="center"/>
              <w:rPr>
                <w:rFonts w:cs="宋体"/>
                <w:color w:val="000000"/>
                <w:szCs w:val="21"/>
              </w:rPr>
            </w:pPr>
            <w:r>
              <w:rPr>
                <w:rFonts w:hint="eastAsia" w:cs="宋体"/>
                <w:color w:val="000000"/>
                <w:szCs w:val="21"/>
              </w:rPr>
              <w:t>（150分）</w:t>
            </w:r>
          </w:p>
        </w:tc>
        <w:tc>
          <w:tcPr>
            <w:tcW w:w="11429" w:type="dxa"/>
            <w:tcMar>
              <w:top w:w="57" w:type="dxa"/>
              <w:bottom w:w="57" w:type="dxa"/>
            </w:tcMar>
            <w:vAlign w:val="center"/>
          </w:tcPr>
          <w:p>
            <w:pPr>
              <w:adjustRightInd w:val="0"/>
              <w:snapToGrid w:val="0"/>
              <w:rPr>
                <w:rFonts w:hint="eastAsia" w:cs="宋体"/>
                <w:color w:val="000000"/>
                <w:szCs w:val="21"/>
              </w:rPr>
            </w:pPr>
            <w:r>
              <w:rPr>
                <w:rFonts w:hint="eastAsia" w:cs="宋体"/>
                <w:b/>
                <w:color w:val="000000"/>
                <w:szCs w:val="21"/>
              </w:rPr>
              <w:t xml:space="preserve">    7.班子建设。</w:t>
            </w:r>
            <w:r>
              <w:rPr>
                <w:rFonts w:hint="eastAsia" w:cs="宋体"/>
                <w:color w:val="000000"/>
                <w:szCs w:val="21"/>
              </w:rPr>
              <w:t>公办学校实行党组织领导的校长负责制；落实“党政同责、一岗双责、失职追责”的总要求，执行“三重一大”决策制度；</w:t>
            </w:r>
            <w:r>
              <w:rPr>
                <w:rFonts w:cs="宋体"/>
                <w:color w:val="000000"/>
                <w:szCs w:val="21"/>
              </w:rPr>
              <w:t>党组织设置为党委、党总支的学校，党组织书记、校长应当分设，党组织设置为党支部的学校，党组织书记、校长由一人担任，同时应当设1名专职副书记</w:t>
            </w:r>
            <w:r>
              <w:rPr>
                <w:rFonts w:hint="eastAsia" w:cs="宋体"/>
                <w:color w:val="000000"/>
                <w:szCs w:val="21"/>
              </w:rPr>
              <w:t>；学校领导班子成员符合任职条件，年龄、职称等结构合理，实行分工负责制；校长持证上岗，符合《中小学校长专业标准（试行）》要求；学校至少配备1名兼职法治副校长；党政领导班子各成员熟悉分管业务，熟知国家教育政策，课程改革、招生考试制度改革等政策，掌握高考改革的最新动态；学校主要领导每年向教职工大会作1次述职述廉述效报告；班子每月至少召开1次专题会议研究教学工作；</w:t>
            </w:r>
            <w:r>
              <w:rPr>
                <w:rFonts w:hint="eastAsia"/>
                <w:color w:val="000000"/>
                <w:szCs w:val="21"/>
              </w:rPr>
              <w:t>每年至少开展1次教职工对学校领导班子的评价，满意率不低于85%</w:t>
            </w:r>
            <w:r>
              <w:rPr>
                <w:rFonts w:hint="eastAsia" w:cs="宋体"/>
                <w:color w:val="000000"/>
                <w:szCs w:val="21"/>
              </w:rPr>
              <w:t>。</w:t>
            </w:r>
          </w:p>
        </w:tc>
        <w:tc>
          <w:tcPr>
            <w:tcW w:w="1123" w:type="dxa"/>
            <w:vAlign w:val="center"/>
          </w:tcPr>
          <w:p>
            <w:pPr>
              <w:adjustRightInd w:val="0"/>
              <w:snapToGrid w:val="0"/>
              <w:rPr>
                <w:rFonts w:cs="宋体"/>
                <w:color w:val="000000"/>
                <w:szCs w:val="21"/>
              </w:rPr>
            </w:pPr>
            <w:r>
              <w:rPr>
                <w:rFonts w:hint="eastAsia" w:cs="宋体"/>
                <w:color w:val="000000"/>
                <w:szCs w:val="21"/>
              </w:rPr>
              <w:t>共10项，每项2分</w:t>
            </w:r>
          </w:p>
        </w:tc>
        <w:tc>
          <w:tcPr>
            <w:tcW w:w="809" w:type="dxa"/>
            <w:vAlign w:val="center"/>
          </w:tcPr>
          <w:p>
            <w:pPr>
              <w:adjustRightInd w:val="0"/>
              <w:snapToGrid w:val="0"/>
              <w:jc w:val="center"/>
              <w:rPr>
                <w:rFonts w:cs="宋体"/>
                <w:color w:val="000000"/>
                <w:szCs w:val="21"/>
              </w:rPr>
            </w:pPr>
            <w:r>
              <w:rPr>
                <w:rFonts w:hint="eastAsia" w:cs="宋体"/>
                <w:color w:val="000000"/>
                <w:szCs w:val="21"/>
              </w:rPr>
              <w:t>20分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rPr>
                <w:rFonts w:cs="宋体"/>
                <w:color w:val="000000"/>
                <w:szCs w:val="21"/>
              </w:rPr>
            </w:pPr>
            <w:r>
              <w:rPr>
                <w:rFonts w:hint="eastAsia" w:cs="宋体"/>
                <w:b/>
                <w:color w:val="000000"/>
                <w:szCs w:val="21"/>
              </w:rPr>
              <w:t xml:space="preserve">    8.发展规划。</w:t>
            </w:r>
            <w:r>
              <w:rPr>
                <w:rFonts w:hint="eastAsia" w:cs="宋体"/>
                <w:color w:val="000000"/>
                <w:szCs w:val="21"/>
              </w:rPr>
              <w:t>制定符合学校实际的中长期发展规划和年度实施计划；制定教育高质量发展专项规划或方案；制定学校</w:t>
            </w:r>
            <w:r>
              <w:rPr>
                <w:rFonts w:hint="eastAsia" w:cs="宋体"/>
                <w:snapToGrid w:val="0"/>
                <w:color w:val="000000"/>
                <w:kern w:val="0"/>
                <w:szCs w:val="21"/>
              </w:rPr>
              <w:t>信息化建设专项规划；各类规划符合实际，具</w:t>
            </w:r>
            <w:r>
              <w:rPr>
                <w:rFonts w:hint="eastAsia" w:cs="宋体"/>
                <w:color w:val="000000"/>
                <w:szCs w:val="21"/>
              </w:rPr>
              <w:t>有较强的操作性，实施的具体成效定期提交教代会评议；制定消除大班额计划，全面消除56人以上的大班额，不再新增50人以上的大班额；新建普通高中办学规模原则上不超过3000人。</w:t>
            </w:r>
          </w:p>
        </w:tc>
        <w:tc>
          <w:tcPr>
            <w:tcW w:w="1123" w:type="dxa"/>
            <w:vAlign w:val="center"/>
          </w:tcPr>
          <w:p>
            <w:pPr>
              <w:adjustRightInd w:val="0"/>
              <w:snapToGrid w:val="0"/>
              <w:rPr>
                <w:rFonts w:cs="宋体"/>
                <w:color w:val="000000"/>
                <w:szCs w:val="21"/>
              </w:rPr>
            </w:pPr>
            <w:r>
              <w:rPr>
                <w:rFonts w:hint="eastAsia" w:cs="宋体"/>
                <w:color w:val="000000"/>
                <w:szCs w:val="21"/>
              </w:rPr>
              <w:t>共6项，每项3分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18分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170" w:type="dxa"/>
              <w:bottom w:w="170" w:type="dxa"/>
            </w:tcMar>
            <w:vAlign w:val="center"/>
          </w:tcPr>
          <w:p>
            <w:pPr>
              <w:adjustRightInd w:val="0"/>
              <w:snapToGrid w:val="0"/>
              <w:rPr>
                <w:rFonts w:cs="宋体"/>
                <w:color w:val="000000"/>
                <w:szCs w:val="21"/>
              </w:rPr>
            </w:pPr>
            <w:r>
              <w:rPr>
                <w:rFonts w:hint="eastAsia" w:cs="宋体"/>
                <w:b/>
                <w:color w:val="000000"/>
                <w:szCs w:val="21"/>
              </w:rPr>
              <w:t xml:space="preserve">    9.现代学校制度。</w:t>
            </w:r>
            <w:r>
              <w:rPr>
                <w:rFonts w:hint="eastAsia" w:cs="宋体"/>
                <w:color w:val="000000"/>
                <w:szCs w:val="21"/>
              </w:rPr>
              <w:t>建立依法办学、自主管理、民主监督、社会参与的现代学校制度，推进学校内涵建设、特色发展，增强学校办学活力；依法依规制定学校章程，强化实施与监督，完善以教育高质量发展为导向的管理制度和工作机制；学校科学设置内部管理和教学组织机构，人员配备合理，岗位责任明确，运行机制良好；学校财务、后勤等管理制度健全，管理规范，收费项目和标准符合规定要求，实行收费公示制度，无乱收费现象，接受社会监督，学生资助政策落实到位；实行校务公开，每学年至少召开1次教代会，保障教职工合法权益，涉及教职工切身利益及学校发展的重要事项提交教代会或教职工大会讨论通过，设置信息公示栏，及时公示重大事项。</w:t>
            </w:r>
          </w:p>
        </w:tc>
        <w:tc>
          <w:tcPr>
            <w:tcW w:w="1123" w:type="dxa"/>
            <w:vAlign w:val="center"/>
          </w:tcPr>
          <w:p>
            <w:pPr>
              <w:adjustRightInd w:val="0"/>
              <w:snapToGrid w:val="0"/>
              <w:rPr>
                <w:rFonts w:cs="宋体"/>
                <w:color w:val="000000"/>
                <w:szCs w:val="21"/>
              </w:rPr>
            </w:pPr>
            <w:r>
              <w:rPr>
                <w:rFonts w:hint="eastAsia" w:cs="宋体"/>
                <w:color w:val="000000"/>
                <w:szCs w:val="21"/>
              </w:rPr>
              <w:t>共5项，每项3分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15分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jc w:val="center"/>
              <w:rPr>
                <w:rFonts w:cs="宋体"/>
                <w:color w:val="000000"/>
                <w:szCs w:val="21"/>
              </w:rPr>
            </w:pPr>
          </w:p>
        </w:tc>
        <w:tc>
          <w:tcPr>
            <w:tcW w:w="11429" w:type="dxa"/>
            <w:tcMar>
              <w:top w:w="57" w:type="dxa"/>
              <w:bottom w:w="57" w:type="dxa"/>
            </w:tcMar>
            <w:vAlign w:val="center"/>
          </w:tcPr>
          <w:p>
            <w:pPr>
              <w:adjustRightInd w:val="0"/>
              <w:snapToGrid w:val="0"/>
              <w:rPr>
                <w:rFonts w:cs="宋体"/>
                <w:color w:val="000000"/>
                <w:szCs w:val="21"/>
              </w:rPr>
            </w:pPr>
            <w:r>
              <w:rPr>
                <w:rFonts w:hint="eastAsia" w:cs="宋体"/>
                <w:b/>
                <w:bCs/>
                <w:color w:val="000000"/>
                <w:szCs w:val="21"/>
              </w:rPr>
              <w:t xml:space="preserve">    10.规范招生</w:t>
            </w:r>
            <w:r>
              <w:rPr>
                <w:rFonts w:hint="eastAsia" w:cs="宋体"/>
                <w:b/>
                <w:bCs/>
                <w:color w:val="000000"/>
                <w:kern w:val="0"/>
                <w:szCs w:val="21"/>
              </w:rPr>
              <w:t>。</w:t>
            </w:r>
            <w:r>
              <w:rPr>
                <w:rFonts w:hint="eastAsia" w:cs="宋体"/>
                <w:bCs/>
                <w:color w:val="000000"/>
                <w:kern w:val="0"/>
                <w:szCs w:val="21"/>
              </w:rPr>
              <w:t>学校按照批准的招生计划、范围、标准和方式同步招生，报名、招生录取通过统一的网络平台开展；落实“属地招生、公民同招”政策，无违规跨区域、跨市区招生，无提前招生、免试招生、超计划招生行为；不招收借读生，无人籍分离、空挂学籍现象；规范特殊类型自主招生行为，主动公开招生办法、细则和录取结果；不收取与招生入学挂钩的赞助费，不跨学期收取学（杂）费；中外合作办学项目实行计划单列，学生就读期间不得转入普通班级；严格落实民办学校独立法人资格、独立校园、独立财务会计、独立专任教师、独立招生和独立颁发学业证书的规定；省级示范等优质教育资源学校不低于50%的统招计划定向分解到区域内各初中学校，并适当向农村、薄弱初中倾斜；落实进城务工人员随迁子女考试升学、残疾学生随班就读、家庭经济困难学生资助等相关政策，加强对需要特别照顾学生的关爱帮扶和心理辅导。</w:t>
            </w:r>
          </w:p>
        </w:tc>
        <w:tc>
          <w:tcPr>
            <w:tcW w:w="1123" w:type="dxa"/>
            <w:vAlign w:val="center"/>
          </w:tcPr>
          <w:p>
            <w:pPr>
              <w:adjustRightInd w:val="0"/>
              <w:snapToGrid w:val="0"/>
              <w:rPr>
                <w:rFonts w:cs="宋体"/>
                <w:color w:val="000000"/>
                <w:szCs w:val="21"/>
              </w:rPr>
            </w:pPr>
            <w:r>
              <w:rPr>
                <w:rFonts w:hint="eastAsia" w:cs="宋体"/>
                <w:color w:val="000000"/>
                <w:szCs w:val="21"/>
              </w:rPr>
              <w:t>共9项，每项3分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27分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rPr>
                <w:rFonts w:cs="宋体"/>
                <w:b/>
                <w:color w:val="000000"/>
                <w:szCs w:val="21"/>
              </w:rPr>
            </w:pPr>
            <w:r>
              <w:rPr>
                <w:rFonts w:hint="eastAsia" w:cs="宋体"/>
                <w:b/>
                <w:bCs/>
                <w:color w:val="000000"/>
                <w:kern w:val="0"/>
                <w:szCs w:val="21"/>
              </w:rPr>
              <w:t xml:space="preserve">    11.减轻学生过重负担。</w:t>
            </w:r>
            <w:r>
              <w:rPr>
                <w:rFonts w:hint="eastAsia" w:cs="宋体"/>
                <w:color w:val="000000"/>
                <w:szCs w:val="21"/>
              </w:rPr>
              <w:t>学校制定“五项管理”工作实施方案和分项管理制度，有目标、有计划、有措施、有实施途径、有效果检测、有督导考核；</w:t>
            </w:r>
            <w:r>
              <w:rPr>
                <w:rFonts w:hint="eastAsia" w:cs="宋体"/>
                <w:color w:val="000000"/>
                <w:kern w:val="0"/>
                <w:szCs w:val="21"/>
              </w:rPr>
              <w:t>严格执行教学计划，严禁超课标教学、抢赶教学进度和提前结束课程；严格落实考试管理要求，减少高中统考统测和日常考试</w:t>
            </w:r>
            <w:r>
              <w:rPr>
                <w:rFonts w:hint="eastAsia" w:cs="宋体"/>
                <w:bCs/>
                <w:color w:val="000000"/>
                <w:kern w:val="0"/>
                <w:szCs w:val="21"/>
              </w:rPr>
              <w:t>，非毕业年级除期中期末考试外，不得安排其他统一考试；科学有效布置作业，合理安排学生在校作息时间，</w:t>
            </w:r>
            <w:r>
              <w:rPr>
                <w:rFonts w:hint="eastAsia" w:cs="宋体"/>
                <w:color w:val="000000"/>
                <w:szCs w:val="21"/>
              </w:rPr>
              <w:t>学生每天集中学习时间不超过8小时，</w:t>
            </w:r>
            <w:r>
              <w:rPr>
                <w:rFonts w:hint="eastAsia" w:cs="宋体"/>
                <w:color w:val="000000"/>
                <w:kern w:val="0"/>
                <w:szCs w:val="21"/>
              </w:rPr>
              <w:t>每天睡眠8小时以上，保证充足的午休</w:t>
            </w:r>
            <w:r>
              <w:rPr>
                <w:rFonts w:hint="eastAsia" w:cs="宋体"/>
                <w:color w:val="000000"/>
                <w:szCs w:val="21"/>
              </w:rPr>
              <w:t>和课间休息时间</w:t>
            </w:r>
            <w:r>
              <w:rPr>
                <w:rFonts w:hint="eastAsia" w:cs="宋体"/>
                <w:color w:val="000000"/>
                <w:kern w:val="0"/>
                <w:szCs w:val="21"/>
              </w:rPr>
              <w:t>；寄宿制学校依据有关规定妥善安排学生作息时间，丰富寄宿学生业余生活</w:t>
            </w:r>
            <w:r>
              <w:rPr>
                <w:rFonts w:hint="eastAsia" w:cs="宋体"/>
                <w:color w:val="000000"/>
                <w:szCs w:val="21"/>
              </w:rPr>
              <w:t>；建有校内课业负担监测与公布机制，课业负担过重得到有效控制；引导家长合理安排孩子学习、锻炼和休息时间，切实改变“学校减负、家庭增负，校内减负、校外增负”现象</w:t>
            </w:r>
            <w:r>
              <w:rPr>
                <w:rFonts w:hint="eastAsia" w:cs="宋体"/>
                <w:color w:val="000000"/>
                <w:kern w:val="0"/>
                <w:szCs w:val="21"/>
              </w:rPr>
              <w:t>。</w:t>
            </w:r>
          </w:p>
        </w:tc>
        <w:tc>
          <w:tcPr>
            <w:tcW w:w="1123" w:type="dxa"/>
            <w:vAlign w:val="center"/>
          </w:tcPr>
          <w:p>
            <w:pPr>
              <w:adjustRightInd w:val="0"/>
              <w:snapToGrid w:val="0"/>
              <w:rPr>
                <w:rFonts w:cs="宋体"/>
                <w:color w:val="000000"/>
                <w:szCs w:val="21"/>
              </w:rPr>
            </w:pPr>
            <w:r>
              <w:rPr>
                <w:rFonts w:hint="eastAsia" w:cs="宋体"/>
                <w:color w:val="000000"/>
                <w:szCs w:val="21"/>
              </w:rPr>
              <w:t>共7项，每项3分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21分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rPr>
                <w:rFonts w:cs="宋体"/>
                <w:color w:val="000000"/>
                <w:kern w:val="0"/>
                <w:szCs w:val="21"/>
              </w:rPr>
            </w:pPr>
            <w:r>
              <w:rPr>
                <w:rFonts w:hint="eastAsia" w:cs="宋体"/>
                <w:b/>
                <w:color w:val="000000"/>
                <w:kern w:val="0"/>
                <w:szCs w:val="21"/>
              </w:rPr>
              <w:t xml:space="preserve">    12.社团建设。</w:t>
            </w:r>
            <w:r>
              <w:rPr>
                <w:rFonts w:hint="eastAsia" w:cs="宋体"/>
                <w:color w:val="000000"/>
                <w:kern w:val="0"/>
                <w:szCs w:val="21"/>
              </w:rPr>
              <w:t>学校整合教育资源，在普及的基础上成立人文类、体艺类、科技类、综合实践类学生社团；学生社团做到“六有”（有分管校领导、有指导教师、有活动方案、有活动时间场所、有过程记录、有考核评价等）；建立校外体艺、科技、综合实践、劳动等教育基地和实践基地；学生参与率达到90%以上。</w:t>
            </w:r>
          </w:p>
        </w:tc>
        <w:tc>
          <w:tcPr>
            <w:tcW w:w="1123" w:type="dxa"/>
            <w:vAlign w:val="center"/>
          </w:tcPr>
          <w:p>
            <w:pPr>
              <w:adjustRightInd w:val="0"/>
              <w:snapToGrid w:val="0"/>
              <w:rPr>
                <w:rFonts w:cs="宋体"/>
                <w:color w:val="000000"/>
                <w:szCs w:val="21"/>
              </w:rPr>
            </w:pPr>
            <w:r>
              <w:rPr>
                <w:rFonts w:hint="eastAsia" w:cs="宋体"/>
                <w:color w:val="000000"/>
                <w:szCs w:val="21"/>
              </w:rPr>
              <w:t>共4项，每项2分</w:t>
            </w:r>
          </w:p>
        </w:tc>
        <w:tc>
          <w:tcPr>
            <w:tcW w:w="809" w:type="dxa"/>
            <w:vAlign w:val="center"/>
          </w:tcPr>
          <w:p>
            <w:pPr>
              <w:adjustRightInd w:val="0"/>
              <w:snapToGrid w:val="0"/>
              <w:jc w:val="center"/>
              <w:rPr>
                <w:rFonts w:cs="宋体"/>
                <w:color w:val="000000"/>
                <w:szCs w:val="21"/>
              </w:rPr>
            </w:pPr>
            <w:r>
              <w:rPr>
                <w:rFonts w:hint="eastAsia" w:cs="宋体"/>
                <w:color w:val="000000"/>
                <w:szCs w:val="21"/>
              </w:rPr>
              <w:t>8分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rPr>
                <w:rFonts w:cs="宋体"/>
                <w:color w:val="000000"/>
                <w:szCs w:val="21"/>
              </w:rPr>
            </w:pPr>
          </w:p>
        </w:tc>
        <w:tc>
          <w:tcPr>
            <w:tcW w:w="11429" w:type="dxa"/>
            <w:tcMar>
              <w:top w:w="57" w:type="dxa"/>
              <w:bottom w:w="57" w:type="dxa"/>
            </w:tcMar>
            <w:vAlign w:val="center"/>
          </w:tcPr>
          <w:p>
            <w:pPr>
              <w:adjustRightInd w:val="0"/>
              <w:snapToGrid w:val="0"/>
              <w:rPr>
                <w:rFonts w:cs="宋体"/>
                <w:color w:val="000000"/>
                <w:szCs w:val="21"/>
              </w:rPr>
            </w:pPr>
            <w:r>
              <w:rPr>
                <w:rFonts w:hint="eastAsia" w:cs="宋体"/>
                <w:b/>
                <w:bCs/>
                <w:color w:val="000000"/>
                <w:kern w:val="0"/>
                <w:szCs w:val="21"/>
              </w:rPr>
              <w:t xml:space="preserve">    13.</w:t>
            </w:r>
            <w:r>
              <w:rPr>
                <w:rFonts w:hint="eastAsia" w:cs="宋体"/>
                <w:b/>
                <w:color w:val="000000"/>
                <w:kern w:val="0"/>
                <w:szCs w:val="21"/>
              </w:rPr>
              <w:t>班级建设</w:t>
            </w:r>
            <w:r>
              <w:rPr>
                <w:rFonts w:hint="eastAsia" w:cs="宋体"/>
                <w:b/>
                <w:bCs/>
                <w:color w:val="000000"/>
                <w:kern w:val="0"/>
                <w:szCs w:val="21"/>
              </w:rPr>
              <w:t>。</w:t>
            </w:r>
            <w:r>
              <w:rPr>
                <w:rFonts w:hint="eastAsia" w:cs="宋体"/>
                <w:bCs/>
                <w:color w:val="000000"/>
                <w:kern w:val="0"/>
                <w:szCs w:val="21"/>
              </w:rPr>
              <w:t>学校制定有</w:t>
            </w:r>
            <w:r>
              <w:rPr>
                <w:rFonts w:hint="eastAsia" w:cs="宋体"/>
                <w:color w:val="000000"/>
                <w:kern w:val="0"/>
                <w:szCs w:val="21"/>
              </w:rPr>
              <w:t>班级建设实施方案</w:t>
            </w:r>
            <w:r>
              <w:rPr>
                <w:rFonts w:hint="eastAsia" w:cs="宋体"/>
                <w:color w:val="000000"/>
                <w:szCs w:val="21"/>
              </w:rPr>
              <w:t>；班级管理制度健全；班级文化主题突出，班风、班训“一班一特色”，班级凝聚力强；</w:t>
            </w:r>
            <w:r>
              <w:rPr>
                <w:rFonts w:hint="eastAsia" w:cs="宋体"/>
                <w:color w:val="000000"/>
                <w:kern w:val="0"/>
                <w:szCs w:val="21"/>
              </w:rPr>
              <w:t>班级活动在教师指导下由学生自主开展，</w:t>
            </w:r>
            <w:r>
              <w:rPr>
                <w:rFonts w:hint="eastAsia" w:cs="宋体"/>
                <w:color w:val="000000"/>
                <w:szCs w:val="21"/>
              </w:rPr>
              <w:t>定期开展主题班会和心理健康教育活动；</w:t>
            </w:r>
            <w:r>
              <w:rPr>
                <w:rFonts w:hint="eastAsia" w:cs="宋体"/>
                <w:color w:val="000000"/>
                <w:kern w:val="0"/>
                <w:szCs w:val="21"/>
              </w:rPr>
              <w:t>班干部由学生民主推荐，每学期或每学年轮换1次</w:t>
            </w:r>
            <w:r>
              <w:rPr>
                <w:rFonts w:hint="eastAsia" w:cs="宋体"/>
                <w:color w:val="000000"/>
                <w:szCs w:val="21"/>
              </w:rPr>
              <w:t>，保证每一位学生参与班级管理；</w:t>
            </w:r>
            <w:r>
              <w:rPr>
                <w:rFonts w:hint="eastAsia" w:cs="宋体"/>
                <w:color w:val="000000"/>
                <w:kern w:val="0"/>
                <w:szCs w:val="21"/>
              </w:rPr>
              <w:t>班级的各类活动由学生轮流负责组织；每学期或每学年表彰1次校级三好学生、优秀学生干部、优秀共青团员。</w:t>
            </w:r>
          </w:p>
        </w:tc>
        <w:tc>
          <w:tcPr>
            <w:tcW w:w="1123" w:type="dxa"/>
            <w:vAlign w:val="center"/>
          </w:tcPr>
          <w:p>
            <w:pPr>
              <w:adjustRightInd w:val="0"/>
              <w:snapToGrid w:val="0"/>
              <w:rPr>
                <w:rFonts w:cs="宋体"/>
                <w:color w:val="000000"/>
                <w:szCs w:val="21"/>
              </w:rPr>
            </w:pPr>
            <w:r>
              <w:rPr>
                <w:rFonts w:hint="eastAsia" w:cs="宋体"/>
                <w:color w:val="000000"/>
                <w:szCs w:val="21"/>
              </w:rPr>
              <w:t>共7项，每项3分</w:t>
            </w:r>
          </w:p>
        </w:tc>
        <w:tc>
          <w:tcPr>
            <w:tcW w:w="809" w:type="dxa"/>
            <w:vAlign w:val="center"/>
          </w:tcPr>
          <w:p>
            <w:pPr>
              <w:adjustRightInd w:val="0"/>
              <w:snapToGrid w:val="0"/>
              <w:jc w:val="center"/>
              <w:rPr>
                <w:rFonts w:cs="宋体"/>
                <w:color w:val="000000"/>
                <w:szCs w:val="21"/>
              </w:rPr>
            </w:pPr>
          </w:p>
          <w:p>
            <w:pPr>
              <w:adjustRightInd w:val="0"/>
              <w:snapToGrid w:val="0"/>
              <w:jc w:val="center"/>
              <w:rPr>
                <w:rFonts w:cs="宋体"/>
                <w:color w:val="000000"/>
                <w:szCs w:val="21"/>
              </w:rPr>
            </w:pPr>
            <w:r>
              <w:rPr>
                <w:rFonts w:hint="eastAsia" w:cs="宋体"/>
                <w:color w:val="000000"/>
                <w:szCs w:val="21"/>
              </w:rPr>
              <w:t>21分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rPr>
                <w:rFonts w:cs="宋体"/>
                <w:color w:val="000000"/>
                <w:szCs w:val="21"/>
              </w:rPr>
            </w:pPr>
            <w:r>
              <w:rPr>
                <w:rFonts w:hint="eastAsia" w:cs="宋体"/>
                <w:b/>
                <w:color w:val="000000"/>
                <w:szCs w:val="21"/>
              </w:rPr>
              <w:t xml:space="preserve">    14.家校共育。</w:t>
            </w:r>
            <w:r>
              <w:rPr>
                <w:rFonts w:hint="eastAsia" w:cs="宋体"/>
                <w:color w:val="000000"/>
                <w:szCs w:val="21"/>
              </w:rPr>
              <w:t>建立健全家庭、学校、社会协同育人机制，发挥家校共育工作指导中心（站）和家长学校作用，健全家长委员会</w:t>
            </w:r>
            <w:r>
              <w:rPr>
                <w:rFonts w:hint="eastAsia" w:cs="宋体"/>
                <w:color w:val="000000"/>
                <w:kern w:val="0"/>
                <w:szCs w:val="21"/>
              </w:rPr>
              <w:t>；宣传并推进落实《中华人民共和国家庭教育促进法》，定期召开学生家长会，每学期开展家庭教育活动不少于2次；邀请家长参与学校管理，开展专题讲座、经验分享、家长接待日、家</w:t>
            </w:r>
            <w:r>
              <w:rPr>
                <w:rFonts w:hint="eastAsia" w:cs="宋体"/>
                <w:color w:val="000000"/>
                <w:szCs w:val="21"/>
              </w:rPr>
              <w:t>长进课堂等活动，形成育人合力；</w:t>
            </w:r>
            <w:r>
              <w:rPr>
                <w:rFonts w:hint="eastAsia" w:cs="宋体"/>
                <w:color w:val="000000"/>
                <w:kern w:val="0"/>
                <w:szCs w:val="21"/>
              </w:rPr>
              <w:t>吸纳社会各界及家长参与学校教育教学质量评价，</w:t>
            </w:r>
            <w:r>
              <w:rPr>
                <w:rFonts w:hint="eastAsia" w:cs="宋体"/>
                <w:color w:val="000000"/>
                <w:szCs w:val="21"/>
              </w:rPr>
              <w:t>听取意见建议；</w:t>
            </w:r>
            <w:r>
              <w:rPr>
                <w:rFonts w:hint="eastAsia" w:cs="宋体"/>
                <w:bCs/>
                <w:color w:val="000000"/>
                <w:szCs w:val="21"/>
              </w:rPr>
              <w:t>利用社会各种教育资源服务学校教育教学，开展学生德育、社会实践活动；落实家访制度，将家校联系情况纳入教师考核。</w:t>
            </w:r>
          </w:p>
        </w:tc>
        <w:tc>
          <w:tcPr>
            <w:tcW w:w="1123" w:type="dxa"/>
            <w:vAlign w:val="center"/>
          </w:tcPr>
          <w:p>
            <w:pPr>
              <w:adjustRightInd w:val="0"/>
              <w:snapToGrid w:val="0"/>
              <w:rPr>
                <w:rFonts w:cs="宋体"/>
                <w:color w:val="000000"/>
                <w:szCs w:val="21"/>
              </w:rPr>
            </w:pPr>
            <w:r>
              <w:rPr>
                <w:rFonts w:hint="eastAsia" w:cs="宋体"/>
                <w:color w:val="000000"/>
                <w:szCs w:val="21"/>
              </w:rPr>
              <w:t>共6项，每项2分</w:t>
            </w:r>
          </w:p>
        </w:tc>
        <w:tc>
          <w:tcPr>
            <w:tcW w:w="809" w:type="dxa"/>
            <w:vAlign w:val="center"/>
          </w:tcPr>
          <w:p>
            <w:pPr>
              <w:adjustRightInd w:val="0"/>
              <w:snapToGrid w:val="0"/>
              <w:jc w:val="center"/>
              <w:rPr>
                <w:rFonts w:cs="宋体"/>
                <w:color w:val="000000"/>
                <w:szCs w:val="21"/>
              </w:rPr>
            </w:pPr>
            <w:r>
              <w:rPr>
                <w:rFonts w:hint="eastAsia" w:cs="宋体"/>
                <w:color w:val="000000"/>
                <w:szCs w:val="21"/>
              </w:rPr>
              <w:t>12分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ind w:firstLine="422" w:firstLineChars="200"/>
              <w:rPr>
                <w:rFonts w:cs="宋体"/>
                <w:b/>
                <w:color w:val="000000"/>
                <w:szCs w:val="21"/>
              </w:rPr>
            </w:pPr>
            <w:r>
              <w:rPr>
                <w:rFonts w:hint="eastAsia" w:cs="宋体"/>
                <w:b/>
                <w:color w:val="000000"/>
                <w:szCs w:val="21"/>
              </w:rPr>
              <w:t>15.督导检查。</w:t>
            </w:r>
            <w:r>
              <w:rPr>
                <w:rFonts w:hint="eastAsia" w:cs="宋体"/>
                <w:color w:val="000000"/>
                <w:szCs w:val="21"/>
              </w:rPr>
              <w:t>建立健全学校自我督查体系，明确</w:t>
            </w:r>
            <w:r>
              <w:rPr>
                <w:rFonts w:hint="eastAsia" w:cs="宋体"/>
                <w:bCs/>
                <w:color w:val="000000"/>
                <w:szCs w:val="21"/>
              </w:rPr>
              <w:t>教育</w:t>
            </w:r>
            <w:r>
              <w:rPr>
                <w:rFonts w:hint="eastAsia" w:cs="宋体"/>
                <w:color w:val="000000"/>
                <w:szCs w:val="21"/>
              </w:rPr>
              <w:t>教学督导人员职责，开展常态化的教育教学、师德师风、“五项管理”、安全稳定、卫生防疫等内部常规督查，确保学校办学方向和教育教学高质量发展；积极配合督导机构和责任督学开展督导评估工作；为责任督学检查指导工作、撰写督导日志和督导报告提供相关档案资料和基本办公条件；专题研究责任督学的反馈意见并全面整改，向责任督学汇报整改情况，共同解决问题。</w:t>
            </w:r>
          </w:p>
        </w:tc>
        <w:tc>
          <w:tcPr>
            <w:tcW w:w="1123" w:type="dxa"/>
            <w:vAlign w:val="center"/>
          </w:tcPr>
          <w:p>
            <w:pPr>
              <w:adjustRightInd w:val="0"/>
              <w:snapToGrid w:val="0"/>
              <w:rPr>
                <w:rFonts w:cs="宋体"/>
                <w:color w:val="000000"/>
                <w:szCs w:val="21"/>
              </w:rPr>
            </w:pPr>
            <w:r>
              <w:rPr>
                <w:rFonts w:hint="eastAsia" w:cs="宋体"/>
                <w:color w:val="000000"/>
                <w:szCs w:val="21"/>
              </w:rPr>
              <w:t>共4项，每项2分</w:t>
            </w:r>
          </w:p>
        </w:tc>
        <w:tc>
          <w:tcPr>
            <w:tcW w:w="809" w:type="dxa"/>
            <w:vAlign w:val="center"/>
          </w:tcPr>
          <w:p>
            <w:pPr>
              <w:adjustRightInd w:val="0"/>
              <w:snapToGrid w:val="0"/>
              <w:jc w:val="center"/>
              <w:rPr>
                <w:rFonts w:cs="宋体"/>
                <w:color w:val="000000"/>
                <w:szCs w:val="21"/>
              </w:rPr>
            </w:pPr>
            <w:r>
              <w:rPr>
                <w:rFonts w:hint="eastAsia" w:cs="宋体"/>
                <w:color w:val="000000"/>
                <w:szCs w:val="21"/>
              </w:rPr>
              <w:t>8分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9" w:hRule="atLeast"/>
        </w:trPr>
        <w:tc>
          <w:tcPr>
            <w:tcW w:w="1155" w:type="dxa"/>
            <w:vMerge w:val="restart"/>
            <w:vAlign w:val="center"/>
          </w:tcPr>
          <w:p>
            <w:pPr>
              <w:adjustRightInd w:val="0"/>
              <w:snapToGrid w:val="0"/>
              <w:rPr>
                <w:rFonts w:cs="宋体"/>
                <w:color w:val="000000"/>
                <w:szCs w:val="21"/>
              </w:rPr>
            </w:pPr>
            <w:r>
              <w:rPr>
                <w:rFonts w:hint="eastAsia" w:cs="宋体"/>
                <w:color w:val="000000"/>
                <w:szCs w:val="21"/>
              </w:rPr>
              <w:t>三、提高教育教学质量</w:t>
            </w:r>
          </w:p>
          <w:p>
            <w:pPr>
              <w:adjustRightInd w:val="0"/>
              <w:snapToGrid w:val="0"/>
              <w:jc w:val="center"/>
              <w:rPr>
                <w:rFonts w:hint="eastAsia" w:cs="宋体"/>
                <w:color w:val="000000"/>
                <w:szCs w:val="21"/>
              </w:rPr>
            </w:pPr>
            <w:r>
              <w:rPr>
                <w:rFonts w:hint="eastAsia" w:cs="宋体"/>
                <w:color w:val="000000"/>
                <w:szCs w:val="21"/>
              </w:rPr>
              <w:t>（230分）</w:t>
            </w:r>
          </w:p>
        </w:tc>
        <w:tc>
          <w:tcPr>
            <w:tcW w:w="11429" w:type="dxa"/>
            <w:tcMar>
              <w:top w:w="57" w:type="dxa"/>
              <w:bottom w:w="57" w:type="dxa"/>
            </w:tcMar>
            <w:vAlign w:val="center"/>
          </w:tcPr>
          <w:p>
            <w:pPr>
              <w:adjustRightInd w:val="0"/>
              <w:snapToGrid w:val="0"/>
              <w:ind w:firstLine="422" w:firstLineChars="200"/>
              <w:rPr>
                <w:rFonts w:cs="宋体"/>
                <w:b/>
                <w:color w:val="000000"/>
                <w:szCs w:val="21"/>
              </w:rPr>
            </w:pPr>
            <w:r>
              <w:rPr>
                <w:rFonts w:hint="eastAsia" w:cs="宋体"/>
                <w:b/>
                <w:color w:val="000000"/>
                <w:kern w:val="0"/>
                <w:szCs w:val="21"/>
              </w:rPr>
              <w:t>16.课程方案。</w:t>
            </w:r>
            <w:r>
              <w:rPr>
                <w:rFonts w:hint="eastAsia" w:cs="宋体"/>
                <w:color w:val="000000"/>
                <w:szCs w:val="21"/>
              </w:rPr>
              <w:t>学校课程实施方案紧扣学校办学理念、培养目标，课程体系结构严谨，层次分明，形成优势学科、特色课程和精品课程；</w:t>
            </w:r>
            <w:r>
              <w:rPr>
                <w:rFonts w:hint="eastAsia" w:cs="宋体"/>
                <w:color w:val="000000"/>
                <w:kern w:val="0"/>
                <w:szCs w:val="21"/>
              </w:rPr>
              <w:t>课程实施三年规划</w:t>
            </w:r>
            <w:r>
              <w:rPr>
                <w:rFonts w:hint="eastAsia" w:cs="宋体"/>
                <w:color w:val="000000"/>
                <w:szCs w:val="21"/>
              </w:rPr>
              <w:t>目标明确适切，内容务实全面，分解科学合理，措施切实可行，符合本校实际，促进学生个性化发展；</w:t>
            </w:r>
            <w:r>
              <w:rPr>
                <w:rFonts w:hint="eastAsia" w:cs="宋体"/>
                <w:color w:val="000000"/>
                <w:kern w:val="0"/>
                <w:szCs w:val="21"/>
              </w:rPr>
              <w:t>丰富完善课程建设与管理，建立学分认定制度；规范使用教育部和省级审定教材，开齐开足各门类必修课程，落实思想政治课程，落实选择性必修和选修课程，开设丰富多样、特色明显且满足学生多样化发展需要的选修课程；建立内容丰富的网络课程；完善校本课程体系，全面推进国家选修课程内容校本化实施；已开发的校本课程领域应涉及6个学科以上，选修校本课</w:t>
            </w:r>
            <w:r>
              <w:rPr>
                <w:rFonts w:hint="eastAsia" w:cs="宋体"/>
                <w:color w:val="000000"/>
                <w:szCs w:val="21"/>
              </w:rPr>
              <w:t>程学习的学</w:t>
            </w:r>
            <w:r>
              <w:rPr>
                <w:rFonts w:hint="eastAsia" w:cs="宋体"/>
                <w:color w:val="000000"/>
                <w:kern w:val="0"/>
                <w:szCs w:val="21"/>
              </w:rPr>
              <w:t>生不低于学生总数的50%；重视动手动脑和实践能力培养，切实加强理化生实验教学，理化生学生分组实验开出率100%；落实有关课时要求，</w:t>
            </w:r>
            <w:r>
              <w:rPr>
                <w:rFonts w:hint="eastAsia" w:cs="宋体"/>
                <w:b/>
                <w:color w:val="000000"/>
                <w:kern w:val="0"/>
                <w:szCs w:val="21"/>
              </w:rPr>
              <w:t>体育与健康</w:t>
            </w:r>
            <w:r>
              <w:rPr>
                <w:rFonts w:hint="eastAsia" w:cs="宋体"/>
                <w:color w:val="000000"/>
                <w:kern w:val="0"/>
                <w:szCs w:val="21"/>
              </w:rPr>
              <w:t>：体育与健康课每周3课时；阳光体育1小时落实到位，落实每天“两操两活动”要求；每年举行春季和秋季运动会；体育艺术“2+1”项目实施效果好，开展“一校一品”等体育特色活动；每学年对学生体检1次，每学年监测视力不少于2次；</w:t>
            </w:r>
            <w:r>
              <w:rPr>
                <w:rFonts w:hint="eastAsia" w:cs="宋体"/>
                <w:color w:val="000000"/>
                <w:szCs w:val="21"/>
              </w:rPr>
              <w:t>举行卫生与健康知识报告会</w:t>
            </w:r>
            <w:r>
              <w:rPr>
                <w:rFonts w:hint="eastAsia" w:cs="宋体"/>
                <w:color w:val="000000"/>
                <w:kern w:val="0"/>
                <w:szCs w:val="21"/>
              </w:rPr>
              <w:t>，</w:t>
            </w:r>
            <w:r>
              <w:rPr>
                <w:rFonts w:hint="eastAsia" w:cs="宋体"/>
                <w:color w:val="000000"/>
                <w:szCs w:val="21"/>
              </w:rPr>
              <w:t>开展个体和团体心理辅导</w:t>
            </w:r>
            <w:r>
              <w:rPr>
                <w:rFonts w:hint="eastAsia" w:cs="宋体"/>
                <w:color w:val="000000"/>
                <w:kern w:val="0"/>
                <w:szCs w:val="21"/>
              </w:rPr>
              <w:t>；</w:t>
            </w:r>
            <w:r>
              <w:rPr>
                <w:rFonts w:hint="eastAsia" w:cs="宋体"/>
                <w:b/>
                <w:color w:val="000000"/>
                <w:kern w:val="0"/>
                <w:szCs w:val="21"/>
              </w:rPr>
              <w:t>美育与艺术：</w:t>
            </w:r>
            <w:r>
              <w:rPr>
                <w:rFonts w:hint="eastAsia" w:cs="宋体"/>
                <w:color w:val="000000"/>
                <w:kern w:val="0"/>
                <w:szCs w:val="21"/>
              </w:rPr>
              <w:t>严格落实音乐美术课程教学，保证必修课程的教学课时；开展形式多样的艺术教育活动；每学年至少在社区或者县域有1次艺术进社区的宣传演出活动，每学年举行1次艺术节活动；</w:t>
            </w:r>
            <w:r>
              <w:rPr>
                <w:rFonts w:hint="eastAsia" w:cs="宋体"/>
                <w:b/>
                <w:color w:val="000000"/>
                <w:szCs w:val="21"/>
              </w:rPr>
              <w:t>综合实践活动：</w:t>
            </w:r>
            <w:r>
              <w:rPr>
                <w:rFonts w:hint="eastAsia" w:cs="宋体"/>
                <w:color w:val="000000"/>
                <w:kern w:val="0"/>
                <w:szCs w:val="21"/>
              </w:rPr>
              <w:t>强化劳动实践育人，广泛开展劳动教育和综合实践活动，劳动课程平均每周不少于1课时，设立学年劳动周，统筹利用校内外资源，可适当走向社会参与集中劳动，开展日常生活劳动、生产劳动和服务性劳动；</w:t>
            </w:r>
            <w:r>
              <w:rPr>
                <w:rFonts w:hint="eastAsia" w:cs="宋体"/>
                <w:color w:val="000000"/>
                <w:szCs w:val="21"/>
              </w:rPr>
              <w:t>积极开展以跨学科为主的研究性学习活动，学生三年至少完成2个课题研究或项目设计，积极开展党团活动、国防教</w:t>
            </w:r>
            <w:r>
              <w:rPr>
                <w:rFonts w:hint="eastAsia" w:cs="宋体"/>
                <w:color w:val="000000"/>
                <w:kern w:val="0"/>
                <w:szCs w:val="21"/>
              </w:rPr>
              <w:t>育、社会考察，以及研学实践、职业体验、志愿服务等综合实践活动；</w:t>
            </w:r>
            <w:r>
              <w:rPr>
                <w:rFonts w:hint="eastAsia" w:cs="宋体"/>
                <w:color w:val="000000"/>
                <w:szCs w:val="21"/>
              </w:rPr>
              <w:t>研学实践与综合实践课程统筹安排，每学年1次，一般安排在高中一到二年级，以省情国情为主，研学实践组织管理规范；</w:t>
            </w:r>
            <w:r>
              <w:rPr>
                <w:rFonts w:hint="eastAsia" w:cs="宋体"/>
                <w:color w:val="000000"/>
                <w:kern w:val="0"/>
                <w:szCs w:val="21"/>
              </w:rPr>
              <w:t>综合实践活动有实施方案、过程记录、评价考核。</w:t>
            </w:r>
          </w:p>
        </w:tc>
        <w:tc>
          <w:tcPr>
            <w:tcW w:w="1123" w:type="dxa"/>
            <w:vAlign w:val="center"/>
          </w:tcPr>
          <w:p>
            <w:pPr>
              <w:adjustRightInd w:val="0"/>
              <w:snapToGrid w:val="0"/>
              <w:rPr>
                <w:rFonts w:cs="宋体"/>
                <w:color w:val="000000"/>
                <w:szCs w:val="21"/>
              </w:rPr>
            </w:pPr>
            <w:r>
              <w:rPr>
                <w:rFonts w:hint="eastAsia" w:cs="宋体"/>
                <w:color w:val="000000"/>
                <w:szCs w:val="21"/>
              </w:rPr>
              <w:t>共21项，每项5分</w:t>
            </w:r>
          </w:p>
        </w:tc>
        <w:tc>
          <w:tcPr>
            <w:tcW w:w="809" w:type="dxa"/>
            <w:vAlign w:val="center"/>
          </w:tcPr>
          <w:p>
            <w:pPr>
              <w:adjustRightInd w:val="0"/>
              <w:snapToGrid w:val="0"/>
              <w:jc w:val="center"/>
              <w:rPr>
                <w:rFonts w:cs="宋体"/>
                <w:color w:val="000000"/>
                <w:szCs w:val="21"/>
              </w:rPr>
            </w:pPr>
            <w:r>
              <w:rPr>
                <w:rFonts w:hint="eastAsia" w:cs="宋体"/>
                <w:color w:val="000000"/>
                <w:szCs w:val="21"/>
              </w:rPr>
              <w:t>105分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rPr>
                <w:rFonts w:cs="宋体"/>
                <w:b/>
                <w:color w:val="000000"/>
                <w:szCs w:val="21"/>
              </w:rPr>
            </w:pPr>
            <w:r>
              <w:rPr>
                <w:rFonts w:hint="eastAsia" w:cs="宋体"/>
                <w:b/>
                <w:bCs/>
                <w:color w:val="000000"/>
                <w:kern w:val="0"/>
                <w:szCs w:val="21"/>
              </w:rPr>
              <w:t xml:space="preserve">    17.教学实施。</w:t>
            </w:r>
            <w:r>
              <w:rPr>
                <w:rFonts w:hint="eastAsia" w:cs="宋体"/>
                <w:bCs/>
                <w:color w:val="000000"/>
                <w:kern w:val="0"/>
                <w:szCs w:val="21"/>
              </w:rPr>
              <w:t>严格按照国家课程方案和课程标准实施教学，统筹制定教学计划，不随意增减课时、改变难度、调整进度，严禁高三上学期结束前结课备考；</w:t>
            </w:r>
            <w:r>
              <w:rPr>
                <w:rFonts w:hint="eastAsia" w:cs="宋体"/>
                <w:color w:val="000000"/>
                <w:szCs w:val="21"/>
              </w:rPr>
              <w:t>创新教学组织</w:t>
            </w:r>
            <w:r>
              <w:rPr>
                <w:rFonts w:hint="eastAsia" w:cs="宋体"/>
                <w:bCs/>
                <w:color w:val="000000"/>
                <w:kern w:val="0"/>
                <w:szCs w:val="21"/>
              </w:rPr>
              <w:t>形式和运行制度，关注公平与差异，实施行政班与教学班有效并存，分层分类走班的选课走班管理模式，满足学生个性化</w:t>
            </w:r>
            <w:r>
              <w:rPr>
                <w:rFonts w:hint="eastAsia" w:cs="宋体"/>
                <w:color w:val="000000"/>
                <w:kern w:val="0"/>
                <w:szCs w:val="21"/>
              </w:rPr>
              <w:t>、多样化的</w:t>
            </w:r>
            <w:r>
              <w:rPr>
                <w:rFonts w:hint="eastAsia" w:cs="宋体"/>
                <w:bCs/>
                <w:color w:val="000000"/>
                <w:kern w:val="0"/>
                <w:szCs w:val="21"/>
              </w:rPr>
              <w:t>发展需要；制定选课走班指南和线上教学指南，对接新高考科目选择模式和高校招生专业选考科目要求，深入推进学生选课选科指导；高一年级起根据学校选修课程开展选课走班，高二年级起根据学生选考科目开展选课走班；落实选修课程比例，积极开发选课排课信息系统，提高教学资源使用效益；完善教师集体备课制度，健全巡课、听课和教学评价制度，注重教学诊断与改进。</w:t>
            </w:r>
          </w:p>
        </w:tc>
        <w:tc>
          <w:tcPr>
            <w:tcW w:w="1123" w:type="dxa"/>
            <w:vAlign w:val="center"/>
          </w:tcPr>
          <w:p>
            <w:pPr>
              <w:adjustRightInd w:val="0"/>
              <w:snapToGrid w:val="0"/>
              <w:rPr>
                <w:rFonts w:cs="宋体"/>
                <w:color w:val="000000"/>
                <w:szCs w:val="21"/>
              </w:rPr>
            </w:pPr>
            <w:r>
              <w:rPr>
                <w:rFonts w:hint="eastAsia" w:cs="宋体"/>
                <w:color w:val="000000"/>
                <w:szCs w:val="21"/>
              </w:rPr>
              <w:t>共6项，每项4分</w:t>
            </w:r>
          </w:p>
        </w:tc>
        <w:tc>
          <w:tcPr>
            <w:tcW w:w="809" w:type="dxa"/>
            <w:vAlign w:val="center"/>
          </w:tcPr>
          <w:p>
            <w:pPr>
              <w:adjustRightInd w:val="0"/>
              <w:snapToGrid w:val="0"/>
              <w:jc w:val="center"/>
              <w:rPr>
                <w:rFonts w:cs="宋体"/>
                <w:color w:val="000000"/>
                <w:szCs w:val="21"/>
              </w:rPr>
            </w:pPr>
            <w:r>
              <w:rPr>
                <w:rFonts w:hint="eastAsia" w:cs="宋体"/>
                <w:color w:val="000000"/>
                <w:szCs w:val="21"/>
              </w:rPr>
              <w:t>24分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trPr>
        <w:tc>
          <w:tcPr>
            <w:tcW w:w="1155" w:type="dxa"/>
            <w:vMerge w:val="continue"/>
            <w:vAlign w:val="center"/>
          </w:tcPr>
          <w:p>
            <w:pPr>
              <w:adjustRightInd w:val="0"/>
              <w:snapToGrid w:val="0"/>
              <w:rPr>
                <w:rFonts w:cs="宋体"/>
                <w:color w:val="000000"/>
                <w:szCs w:val="21"/>
              </w:rPr>
            </w:pPr>
          </w:p>
        </w:tc>
        <w:tc>
          <w:tcPr>
            <w:tcW w:w="11429" w:type="dxa"/>
            <w:tcMar>
              <w:top w:w="57" w:type="dxa"/>
              <w:bottom w:w="57" w:type="dxa"/>
            </w:tcMar>
            <w:vAlign w:val="center"/>
          </w:tcPr>
          <w:p>
            <w:pPr>
              <w:adjustRightInd w:val="0"/>
              <w:snapToGrid w:val="0"/>
              <w:spacing w:beforeLines="50" w:afterLines="50"/>
              <w:rPr>
                <w:rFonts w:cs="宋体"/>
                <w:b/>
                <w:color w:val="000000"/>
                <w:szCs w:val="21"/>
              </w:rPr>
            </w:pPr>
            <w:r>
              <w:rPr>
                <w:rFonts w:hint="eastAsia" w:cs="宋体"/>
                <w:b/>
                <w:bCs/>
                <w:color w:val="000000"/>
                <w:kern w:val="0"/>
                <w:szCs w:val="21"/>
              </w:rPr>
              <w:t xml:space="preserve">    18.教学改革。</w:t>
            </w:r>
            <w:r>
              <w:rPr>
                <w:rFonts w:hint="eastAsia" w:cs="宋体"/>
                <w:color w:val="000000"/>
                <w:szCs w:val="21"/>
              </w:rPr>
              <w:t>制定符合学校实际的课堂教学改革实施方案</w:t>
            </w:r>
            <w:r>
              <w:rPr>
                <w:rFonts w:hint="eastAsia" w:cs="宋体"/>
                <w:bCs/>
                <w:color w:val="000000"/>
                <w:kern w:val="0"/>
                <w:szCs w:val="21"/>
              </w:rPr>
              <w:t>，课堂教学改革有目标、有重点、有措施、有进度、有评价，培养学生认知、合作、创新及实践能力；推动课堂教学方式改革，落实学科核心素养培育，坚持教为学服务，提高学生课堂学习的主动性和积极性，鼓励教师改进和创新教育教学方法，优化教学资源配置与课堂教学模式，形成以学生为中心的课堂教学模式和科学有效的学生学习指导机制，积极探索互动式、启发式、探究式、</w:t>
            </w:r>
            <w:r>
              <w:rPr>
                <w:rFonts w:hint="eastAsia" w:cs="宋体"/>
                <w:color w:val="000000"/>
                <w:kern w:val="0"/>
                <w:szCs w:val="21"/>
              </w:rPr>
              <w:t>讨论式、体验式、参与式等多种课堂教学方式，重视课堂教学实效，提高教学质量；推进信息技术与教育教学深度融合，促进学生自主学习、合作、探究学习；运用信息技术开展学情分析，实施精准教学，实现差异化学习，促进学生形成鲜明的学科兴趣和专业倾向；因材施教，平等对待每一位学生，重视差异化教学、分层教学，进行个性化指导，帮助学习困难学生</w:t>
            </w:r>
            <w:r>
              <w:rPr>
                <w:rFonts w:hint="eastAsia" w:cs="宋体"/>
                <w:color w:val="000000"/>
                <w:szCs w:val="21"/>
              </w:rPr>
              <w:t>。</w:t>
            </w:r>
          </w:p>
        </w:tc>
        <w:tc>
          <w:tcPr>
            <w:tcW w:w="1123" w:type="dxa"/>
            <w:vAlign w:val="center"/>
          </w:tcPr>
          <w:p>
            <w:pPr>
              <w:adjustRightInd w:val="0"/>
              <w:snapToGrid w:val="0"/>
              <w:rPr>
                <w:rFonts w:cs="宋体"/>
                <w:color w:val="000000"/>
                <w:szCs w:val="21"/>
              </w:rPr>
            </w:pPr>
            <w:r>
              <w:rPr>
                <w:rFonts w:hint="eastAsia" w:cs="宋体"/>
                <w:color w:val="000000"/>
                <w:szCs w:val="21"/>
              </w:rPr>
              <w:t>共5项，每项5分</w:t>
            </w:r>
          </w:p>
        </w:tc>
        <w:tc>
          <w:tcPr>
            <w:tcW w:w="809" w:type="dxa"/>
            <w:vAlign w:val="center"/>
          </w:tcPr>
          <w:p>
            <w:pPr>
              <w:adjustRightInd w:val="0"/>
              <w:snapToGrid w:val="0"/>
              <w:jc w:val="center"/>
              <w:rPr>
                <w:rFonts w:cs="宋体"/>
                <w:color w:val="000000"/>
                <w:szCs w:val="21"/>
              </w:rPr>
            </w:pPr>
            <w:r>
              <w:rPr>
                <w:rFonts w:hint="eastAsia" w:cs="宋体"/>
                <w:color w:val="000000"/>
                <w:szCs w:val="21"/>
              </w:rPr>
              <w:t>25分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ind w:firstLine="422" w:firstLineChars="200"/>
              <w:rPr>
                <w:rFonts w:cs="宋体"/>
                <w:b/>
                <w:bCs/>
                <w:color w:val="000000"/>
                <w:kern w:val="0"/>
                <w:szCs w:val="21"/>
              </w:rPr>
            </w:pPr>
          </w:p>
        </w:tc>
        <w:tc>
          <w:tcPr>
            <w:tcW w:w="11429" w:type="dxa"/>
            <w:tcMar>
              <w:top w:w="57" w:type="dxa"/>
              <w:bottom w:w="57" w:type="dxa"/>
            </w:tcMar>
            <w:vAlign w:val="center"/>
          </w:tcPr>
          <w:p>
            <w:pPr>
              <w:adjustRightInd w:val="0"/>
              <w:snapToGrid w:val="0"/>
              <w:rPr>
                <w:rFonts w:hint="eastAsia" w:cs="宋体"/>
                <w:b/>
                <w:color w:val="000000"/>
                <w:szCs w:val="21"/>
                <w:highlight w:val="red"/>
              </w:rPr>
            </w:pPr>
            <w:r>
              <w:rPr>
                <w:rFonts w:hint="eastAsia" w:cs="宋体"/>
                <w:b/>
                <w:bCs/>
                <w:color w:val="000000"/>
                <w:kern w:val="0"/>
                <w:szCs w:val="21"/>
              </w:rPr>
              <w:t xml:space="preserve">    19.教学科研。</w:t>
            </w:r>
            <w:r>
              <w:rPr>
                <w:rFonts w:hint="eastAsia" w:cs="宋体"/>
                <w:bCs/>
                <w:color w:val="000000"/>
                <w:kern w:val="0"/>
                <w:szCs w:val="21"/>
              </w:rPr>
              <w:t>设立学校教科研管理机构和各学科教研组、</w:t>
            </w:r>
            <w:r>
              <w:rPr>
                <w:rFonts w:hint="eastAsia"/>
                <w:color w:val="000000"/>
                <w:szCs w:val="21"/>
              </w:rPr>
              <w:t>备课组</w:t>
            </w:r>
            <w:r>
              <w:rPr>
                <w:rFonts w:hint="eastAsia" w:cs="宋体"/>
                <w:bCs/>
                <w:color w:val="000000"/>
                <w:kern w:val="0"/>
                <w:szCs w:val="21"/>
              </w:rPr>
              <w:t>；制定教科研年度工作计划、课题清单和研究方案，教研活动每周至少开展1次；学校领导班子成员分别包抓各学科教研组工作，校长每学年完成3个专题讲座或辅导报告，承担1个校本研修或科研课题；校长每学期听评各学科课程不少于20节，分管教学副校长不少于40节；鼓励教师参与校本课题研究，及时撰写教研随笔或教学反思，校本课题总数每学年不低于专任教师总数的三分之一；课题涵盖学校工作各个方面，重点围绕提高学生学习质量、改进教学方法、优化作业设计、解决教学问题、指导家庭教育等；学校每学年举办1次全校教科研论坛（或开设公开课、成果报告会、成果展示）等活动，学校管理层每学期召开1次教学工作诊断改进专题研究会议，教科研成果汇编成册；教科研成果奖励、应用和推广制度健全，作为教职工职称晋升、绩效考核、年度考核的重要依据；近3年有30%以上的教师在区县级及以上研讨活动中开设公开课，或者近三年累计有20%以上教师获得市级及以上教科研（校本研修）成果（论文）奖或在刊物发表文章。</w:t>
            </w:r>
          </w:p>
        </w:tc>
        <w:tc>
          <w:tcPr>
            <w:tcW w:w="1123" w:type="dxa"/>
            <w:vAlign w:val="center"/>
          </w:tcPr>
          <w:p>
            <w:pPr>
              <w:adjustRightInd w:val="0"/>
              <w:snapToGrid w:val="0"/>
              <w:rPr>
                <w:rFonts w:cs="宋体"/>
                <w:color w:val="000000"/>
                <w:szCs w:val="21"/>
                <w:highlight w:val="red"/>
              </w:rPr>
            </w:pPr>
          </w:p>
          <w:p>
            <w:pPr>
              <w:adjustRightInd w:val="0"/>
              <w:snapToGrid w:val="0"/>
              <w:rPr>
                <w:rFonts w:cs="宋体"/>
                <w:color w:val="000000"/>
                <w:szCs w:val="21"/>
                <w:highlight w:val="red"/>
              </w:rPr>
            </w:pPr>
          </w:p>
          <w:p>
            <w:pPr>
              <w:adjustRightInd w:val="0"/>
              <w:snapToGrid w:val="0"/>
              <w:rPr>
                <w:rFonts w:cs="宋体"/>
                <w:color w:val="000000"/>
                <w:szCs w:val="21"/>
                <w:highlight w:val="red"/>
              </w:rPr>
            </w:pPr>
            <w:r>
              <w:rPr>
                <w:rFonts w:hint="eastAsia" w:cs="宋体"/>
                <w:bCs/>
                <w:color w:val="000000"/>
                <w:kern w:val="0"/>
                <w:szCs w:val="21"/>
              </w:rPr>
              <w:t>共9项，每项5分</w:t>
            </w:r>
          </w:p>
        </w:tc>
        <w:tc>
          <w:tcPr>
            <w:tcW w:w="809" w:type="dxa"/>
            <w:vAlign w:val="center"/>
          </w:tcPr>
          <w:p>
            <w:pPr>
              <w:adjustRightInd w:val="0"/>
              <w:snapToGrid w:val="0"/>
              <w:rPr>
                <w:rFonts w:cs="宋体"/>
                <w:bCs/>
                <w:color w:val="000000"/>
                <w:kern w:val="0"/>
                <w:szCs w:val="21"/>
              </w:rPr>
            </w:pPr>
          </w:p>
          <w:p>
            <w:pPr>
              <w:adjustRightInd w:val="0"/>
              <w:snapToGrid w:val="0"/>
              <w:rPr>
                <w:rFonts w:cs="宋体"/>
                <w:bCs/>
                <w:color w:val="000000"/>
                <w:kern w:val="0"/>
                <w:szCs w:val="21"/>
              </w:rPr>
            </w:pPr>
          </w:p>
          <w:p>
            <w:pPr>
              <w:adjustRightInd w:val="0"/>
              <w:snapToGrid w:val="0"/>
              <w:rPr>
                <w:rFonts w:cs="宋体"/>
                <w:bCs/>
                <w:color w:val="000000"/>
                <w:kern w:val="0"/>
                <w:szCs w:val="21"/>
              </w:rPr>
            </w:pPr>
            <w:r>
              <w:rPr>
                <w:rFonts w:hint="eastAsia" w:cs="宋体"/>
                <w:bCs/>
                <w:color w:val="000000"/>
                <w:kern w:val="0"/>
                <w:szCs w:val="21"/>
              </w:rPr>
              <w:t>45分</w:t>
            </w:r>
          </w:p>
        </w:tc>
        <w:tc>
          <w:tcPr>
            <w:tcW w:w="653" w:type="dxa"/>
            <w:vAlign w:val="center"/>
          </w:tcPr>
          <w:p>
            <w:pPr>
              <w:adjustRightInd w:val="0"/>
              <w:snapToGrid w:val="0"/>
              <w:rPr>
                <w:rFonts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ind w:firstLine="422" w:firstLineChars="200"/>
              <w:jc w:val="left"/>
              <w:rPr>
                <w:rFonts w:hint="eastAsia" w:cs="宋体"/>
                <w:b/>
                <w:color w:val="000000"/>
                <w:szCs w:val="21"/>
              </w:rPr>
            </w:pPr>
            <w:r>
              <w:rPr>
                <w:rFonts w:hint="eastAsia" w:cs="宋体"/>
                <w:b/>
                <w:color w:val="000000"/>
                <w:szCs w:val="21"/>
              </w:rPr>
              <w:t>20.评价机制。</w:t>
            </w:r>
            <w:r>
              <w:rPr>
                <w:rFonts w:hint="eastAsia" w:cs="宋体"/>
                <w:bCs/>
                <w:color w:val="000000"/>
                <w:kern w:val="0"/>
                <w:szCs w:val="21"/>
              </w:rPr>
              <w:t>建立教育质量监测机制（有教学质量管理和评价，有学情调查、课堂诊断等相应举措），科学使用评价信息，对学生发展的差异和成效进行有效分析，适时调整教育教学策略，促进学生发展；关注质量监测结果运用，不断提升教育教学质量；完善学生综合素质评价方案和学生成长记录，把思想品德、学业水平、身心健康、艺术素养、劳动与社会实践等作为评价主要内容，注重考查学生德智体美劳全面发展情况和兴趣特长，突出学生个性特点和主要表现。</w:t>
            </w:r>
          </w:p>
        </w:tc>
        <w:tc>
          <w:tcPr>
            <w:tcW w:w="1123" w:type="dxa"/>
            <w:vAlign w:val="center"/>
          </w:tcPr>
          <w:p>
            <w:pPr>
              <w:adjustRightInd w:val="0"/>
              <w:snapToGrid w:val="0"/>
              <w:rPr>
                <w:rFonts w:cs="宋体"/>
                <w:color w:val="000000"/>
                <w:szCs w:val="21"/>
              </w:rPr>
            </w:pPr>
            <w:r>
              <w:rPr>
                <w:rFonts w:hint="eastAsia" w:cs="宋体"/>
                <w:color w:val="000000"/>
                <w:szCs w:val="21"/>
              </w:rPr>
              <w:t>共3项，每项5分</w:t>
            </w:r>
          </w:p>
        </w:tc>
        <w:tc>
          <w:tcPr>
            <w:tcW w:w="809" w:type="dxa"/>
            <w:vAlign w:val="center"/>
          </w:tcPr>
          <w:p>
            <w:pPr>
              <w:adjustRightInd w:val="0"/>
              <w:snapToGrid w:val="0"/>
              <w:jc w:val="center"/>
              <w:rPr>
                <w:rFonts w:cs="宋体"/>
                <w:color w:val="000000"/>
                <w:szCs w:val="21"/>
              </w:rPr>
            </w:pPr>
            <w:r>
              <w:rPr>
                <w:rFonts w:hint="eastAsia" w:cs="宋体"/>
                <w:color w:val="000000"/>
                <w:szCs w:val="21"/>
              </w:rPr>
              <w:t>15分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jc w:val="center"/>
              <w:rPr>
                <w:rFonts w:cs="宋体"/>
                <w:color w:val="000000"/>
                <w:szCs w:val="21"/>
              </w:rPr>
            </w:pPr>
          </w:p>
        </w:tc>
        <w:tc>
          <w:tcPr>
            <w:tcW w:w="11429" w:type="dxa"/>
            <w:tcBorders>
              <w:bottom w:val="single" w:color="auto" w:sz="4" w:space="0"/>
            </w:tcBorders>
            <w:tcMar>
              <w:top w:w="57" w:type="dxa"/>
              <w:bottom w:w="57" w:type="dxa"/>
            </w:tcMar>
            <w:vAlign w:val="center"/>
          </w:tcPr>
          <w:p>
            <w:pPr>
              <w:adjustRightInd w:val="0"/>
              <w:snapToGrid w:val="0"/>
              <w:ind w:firstLine="422" w:firstLineChars="200"/>
              <w:jc w:val="left"/>
              <w:rPr>
                <w:rFonts w:cs="宋体"/>
                <w:color w:val="000000"/>
                <w:szCs w:val="21"/>
              </w:rPr>
            </w:pPr>
            <w:r>
              <w:rPr>
                <w:rFonts w:hint="eastAsia" w:cs="宋体"/>
                <w:b/>
                <w:color w:val="000000"/>
                <w:szCs w:val="21"/>
              </w:rPr>
              <w:t>21.</w:t>
            </w:r>
            <w:r>
              <w:rPr>
                <w:rFonts w:hint="eastAsia" w:cs="宋体"/>
                <w:b/>
                <w:color w:val="000000"/>
                <w:kern w:val="0"/>
                <w:szCs w:val="21"/>
              </w:rPr>
              <w:t>发展指导。</w:t>
            </w:r>
            <w:r>
              <w:rPr>
                <w:rFonts w:hint="eastAsia" w:cs="宋体"/>
                <w:bCs/>
                <w:color w:val="000000"/>
                <w:kern w:val="0"/>
                <w:szCs w:val="21"/>
              </w:rPr>
              <w:t>建立学生发展与生涯规划指导制度，明确指导机构，建立专兼结合的指导教师队伍，加强指导教师培训；健全指导机制，注重利用高校、科研机构、企业等各种资源，积极构建学校、家庭、社会多方参与和协同配合的指导机制；加强对学生理想、心理、学习、生活和生涯规划等方面指导，学生根据国家发展需要和自身兴趣特长选择选考科目，提高学生选修课程、选考科目、报考专业和未来发展方向的自主选择能力；生涯规划课程体系健全，形式多样，每个年级开设开足生涯规划课程，生涯规划教育贯穿高中教育全过程。</w:t>
            </w:r>
          </w:p>
        </w:tc>
        <w:tc>
          <w:tcPr>
            <w:tcW w:w="1123" w:type="dxa"/>
            <w:vAlign w:val="center"/>
          </w:tcPr>
          <w:p>
            <w:pPr>
              <w:adjustRightInd w:val="0"/>
              <w:snapToGrid w:val="0"/>
              <w:rPr>
                <w:rFonts w:cs="宋体"/>
                <w:color w:val="000000"/>
                <w:szCs w:val="21"/>
              </w:rPr>
            </w:pPr>
            <w:r>
              <w:rPr>
                <w:rFonts w:hint="eastAsia" w:cs="宋体"/>
                <w:color w:val="000000"/>
                <w:szCs w:val="21"/>
              </w:rPr>
              <w:t>共4项，每项4分</w:t>
            </w:r>
          </w:p>
        </w:tc>
        <w:tc>
          <w:tcPr>
            <w:tcW w:w="809" w:type="dxa"/>
            <w:vAlign w:val="center"/>
          </w:tcPr>
          <w:p>
            <w:pPr>
              <w:adjustRightInd w:val="0"/>
              <w:snapToGrid w:val="0"/>
              <w:jc w:val="center"/>
              <w:rPr>
                <w:rFonts w:cs="宋体"/>
                <w:color w:val="000000"/>
                <w:szCs w:val="21"/>
              </w:rPr>
            </w:pPr>
            <w:r>
              <w:rPr>
                <w:rFonts w:hint="eastAsia" w:cs="宋体"/>
                <w:color w:val="000000"/>
                <w:szCs w:val="21"/>
              </w:rPr>
              <w:t>16分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restart"/>
            <w:vAlign w:val="center"/>
          </w:tcPr>
          <w:p>
            <w:pPr>
              <w:adjustRightInd w:val="0"/>
              <w:snapToGrid w:val="0"/>
              <w:rPr>
                <w:rFonts w:hint="eastAsia" w:cs="宋体"/>
                <w:color w:val="000000"/>
                <w:szCs w:val="21"/>
              </w:rPr>
            </w:pPr>
            <w:r>
              <w:rPr>
                <w:rFonts w:hint="eastAsia" w:cs="宋体"/>
                <w:color w:val="000000"/>
                <w:szCs w:val="21"/>
              </w:rPr>
              <w:t>四、建设高素质专业化教师队伍</w:t>
            </w:r>
          </w:p>
          <w:p>
            <w:pPr>
              <w:adjustRightInd w:val="0"/>
              <w:snapToGrid w:val="0"/>
              <w:rPr>
                <w:rFonts w:hint="eastAsia" w:cs="宋体"/>
                <w:color w:val="000000"/>
                <w:szCs w:val="21"/>
              </w:rPr>
            </w:pPr>
            <w:r>
              <w:rPr>
                <w:rFonts w:hint="eastAsia" w:cs="宋体"/>
                <w:color w:val="000000"/>
                <w:szCs w:val="21"/>
              </w:rPr>
              <w:t>（120分）</w:t>
            </w:r>
          </w:p>
        </w:tc>
        <w:tc>
          <w:tcPr>
            <w:tcW w:w="11429" w:type="dxa"/>
            <w:tcMar>
              <w:top w:w="57" w:type="dxa"/>
              <w:bottom w:w="57" w:type="dxa"/>
            </w:tcMar>
            <w:vAlign w:val="center"/>
          </w:tcPr>
          <w:p>
            <w:pPr>
              <w:adjustRightInd w:val="0"/>
              <w:snapToGrid w:val="0"/>
              <w:ind w:firstLine="422" w:firstLineChars="200"/>
              <w:jc w:val="left"/>
              <w:rPr>
                <w:rFonts w:cs="宋体"/>
                <w:b/>
                <w:color w:val="000000"/>
                <w:szCs w:val="21"/>
              </w:rPr>
            </w:pPr>
            <w:r>
              <w:rPr>
                <w:rFonts w:hint="eastAsia" w:cs="宋体"/>
                <w:b/>
                <w:color w:val="000000"/>
                <w:szCs w:val="21"/>
              </w:rPr>
              <w:t>22.教师配备。</w:t>
            </w:r>
            <w:r>
              <w:rPr>
                <w:rFonts w:hint="eastAsia" w:cs="宋体"/>
                <w:color w:val="000000"/>
                <w:szCs w:val="21"/>
              </w:rPr>
              <w:t>落实城乡统一的1:12.5师生比标准；动态管理普通高中教职工编制，按学科编制标准和新课改要求配备学科专业教师；满足高考综合改革教学要求，确保选课走班所需；按标准配备信息科技、通用技术、体育、音乐、美术、心理健康教育等学科教师，配备</w:t>
            </w:r>
            <w:r>
              <w:rPr>
                <w:rFonts w:cs="宋体"/>
                <w:color w:val="000000"/>
                <w:szCs w:val="21"/>
              </w:rPr>
              <w:t>专兼职卫生专业技术人员</w:t>
            </w:r>
            <w:r>
              <w:rPr>
                <w:rFonts w:hint="eastAsia" w:cs="宋体"/>
                <w:color w:val="000000"/>
                <w:szCs w:val="21"/>
              </w:rPr>
              <w:t>和</w:t>
            </w:r>
            <w:r>
              <w:rPr>
                <w:rFonts w:cs="宋体"/>
                <w:color w:val="000000"/>
                <w:szCs w:val="21"/>
              </w:rPr>
              <w:t>保健教师</w:t>
            </w:r>
            <w:r>
              <w:rPr>
                <w:rFonts w:hint="eastAsia" w:cs="宋体"/>
                <w:color w:val="000000"/>
                <w:szCs w:val="21"/>
              </w:rPr>
              <w:t>；寄宿制学校按规定比例配备生活指导教师和宿舍、餐厅管理人员；专任教师学历达到新修订的《中华人民共和国教师法》要求；中高级职称专任教师比例达到60%以上，其中高级职称教师比例达到20%以上；教师年龄结构基本合理。</w:t>
            </w:r>
          </w:p>
        </w:tc>
        <w:tc>
          <w:tcPr>
            <w:tcW w:w="1123" w:type="dxa"/>
            <w:vAlign w:val="center"/>
          </w:tcPr>
          <w:p>
            <w:pPr>
              <w:adjustRightInd w:val="0"/>
              <w:snapToGrid w:val="0"/>
              <w:rPr>
                <w:rFonts w:cs="宋体"/>
                <w:color w:val="000000"/>
                <w:szCs w:val="21"/>
              </w:rPr>
            </w:pPr>
            <w:r>
              <w:rPr>
                <w:rFonts w:hint="eastAsia" w:cs="宋体"/>
                <w:color w:val="000000"/>
                <w:szCs w:val="21"/>
              </w:rPr>
              <w:t>共8项，每项3分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24分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spacing w:beforeLines="50" w:afterLines="50"/>
              <w:ind w:firstLine="422" w:firstLineChars="200"/>
              <w:jc w:val="left"/>
              <w:rPr>
                <w:rFonts w:cs="宋体"/>
                <w:color w:val="000000"/>
                <w:szCs w:val="21"/>
              </w:rPr>
            </w:pPr>
            <w:r>
              <w:rPr>
                <w:rFonts w:hint="eastAsia" w:cs="宋体"/>
                <w:b/>
                <w:color w:val="000000"/>
                <w:szCs w:val="21"/>
              </w:rPr>
              <w:t>23.班主任队伍。</w:t>
            </w:r>
            <w:r>
              <w:rPr>
                <w:rFonts w:hint="eastAsia" w:cs="宋体"/>
                <w:color w:val="000000"/>
                <w:szCs w:val="21"/>
              </w:rPr>
              <w:t>建立班主任队伍选聘、培养、培训、评价、考核和奖惩制度；加强班主任岗前和岗位培训，提高班主任组织管理和教育能力，每学期培训率达到100%；每年至少召开2次班主任工作交流会，每年表彰一定数量的班主任；提高班主任工作量权重，激励班主任工作；完善班主任津贴发放办法。</w:t>
            </w:r>
          </w:p>
        </w:tc>
        <w:tc>
          <w:tcPr>
            <w:tcW w:w="1123" w:type="dxa"/>
            <w:vAlign w:val="center"/>
          </w:tcPr>
          <w:p>
            <w:pPr>
              <w:adjustRightInd w:val="0"/>
              <w:snapToGrid w:val="0"/>
              <w:rPr>
                <w:rFonts w:cs="宋体"/>
                <w:color w:val="000000"/>
                <w:szCs w:val="21"/>
              </w:rPr>
            </w:pPr>
            <w:r>
              <w:rPr>
                <w:rFonts w:hint="eastAsia" w:cs="宋体"/>
                <w:color w:val="000000"/>
                <w:szCs w:val="21"/>
              </w:rPr>
              <w:t>共5项，每项2分</w:t>
            </w:r>
          </w:p>
        </w:tc>
        <w:tc>
          <w:tcPr>
            <w:tcW w:w="809" w:type="dxa"/>
            <w:vAlign w:val="center"/>
          </w:tcPr>
          <w:p>
            <w:pPr>
              <w:adjustRightInd w:val="0"/>
              <w:snapToGrid w:val="0"/>
              <w:jc w:val="center"/>
              <w:rPr>
                <w:rFonts w:cs="宋体"/>
                <w:color w:val="000000"/>
                <w:szCs w:val="21"/>
              </w:rPr>
            </w:pPr>
            <w:r>
              <w:rPr>
                <w:rFonts w:hint="eastAsia" w:cs="宋体"/>
                <w:color w:val="000000"/>
                <w:szCs w:val="21"/>
              </w:rPr>
              <w:t>10分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jc w:val="left"/>
              <w:rPr>
                <w:rFonts w:cs="宋体"/>
                <w:color w:val="000000"/>
                <w:szCs w:val="21"/>
              </w:rPr>
            </w:pPr>
            <w:r>
              <w:rPr>
                <w:rFonts w:hint="eastAsia" w:cs="宋体"/>
                <w:color w:val="000000"/>
                <w:szCs w:val="21"/>
              </w:rPr>
              <w:t xml:space="preserve">   </w:t>
            </w:r>
            <w:r>
              <w:rPr>
                <w:rFonts w:hint="eastAsia" w:cs="宋体"/>
                <w:b/>
                <w:color w:val="000000"/>
                <w:szCs w:val="21"/>
              </w:rPr>
              <w:t xml:space="preserve"> 24.师德师风。</w:t>
            </w:r>
            <w:r>
              <w:rPr>
                <w:rFonts w:hint="eastAsia" w:cs="宋体"/>
                <w:color w:val="000000"/>
                <w:szCs w:val="21"/>
              </w:rPr>
              <w:t>健全师德师风建设长效机制，教师遵守《中小学教师职业道德规范》，争做“四有好老师”和“四个引路人”；教师每学期初向学校呈报师德师风承诺书，学校建立师德师风档案，每学期末向上级主管部门报送师德师风建设情况专题总结；将师德师风作为教师资格定期注册、绩效考核、职务聘任、评优奖励的首要条件，实行师德“一票否决”；严格</w:t>
            </w:r>
            <w:r>
              <w:rPr>
                <w:rFonts w:hint="eastAsia" w:cs="宋体"/>
                <w:color w:val="000000"/>
                <w:spacing w:val="-6"/>
                <w:szCs w:val="21"/>
              </w:rPr>
              <w:t>落实《新时代教师职业行为十项准则》，严肃查处师德失范行为，建立通报警示教育机制；公众对师德师风满意度达到85%</w:t>
            </w:r>
            <w:r>
              <w:rPr>
                <w:rFonts w:hint="eastAsia" w:cs="宋体"/>
                <w:color w:val="000000"/>
                <w:szCs w:val="21"/>
              </w:rPr>
              <w:t>以上。</w:t>
            </w:r>
          </w:p>
        </w:tc>
        <w:tc>
          <w:tcPr>
            <w:tcW w:w="1123" w:type="dxa"/>
            <w:vAlign w:val="center"/>
          </w:tcPr>
          <w:p>
            <w:pPr>
              <w:adjustRightInd w:val="0"/>
              <w:snapToGrid w:val="0"/>
              <w:rPr>
                <w:rFonts w:cs="宋体"/>
                <w:color w:val="000000"/>
                <w:szCs w:val="21"/>
              </w:rPr>
            </w:pPr>
            <w:r>
              <w:rPr>
                <w:rFonts w:hint="eastAsia" w:cs="宋体"/>
                <w:color w:val="000000"/>
                <w:szCs w:val="21"/>
              </w:rPr>
              <w:t>共5项，每项4分</w:t>
            </w:r>
          </w:p>
        </w:tc>
        <w:tc>
          <w:tcPr>
            <w:tcW w:w="809" w:type="dxa"/>
            <w:vAlign w:val="center"/>
          </w:tcPr>
          <w:p>
            <w:pPr>
              <w:adjustRightInd w:val="0"/>
              <w:snapToGrid w:val="0"/>
              <w:jc w:val="center"/>
              <w:rPr>
                <w:rFonts w:cs="宋体"/>
                <w:color w:val="000000"/>
                <w:szCs w:val="21"/>
              </w:rPr>
            </w:pPr>
            <w:r>
              <w:rPr>
                <w:rFonts w:hint="eastAsia" w:cs="宋体"/>
                <w:color w:val="000000"/>
                <w:szCs w:val="21"/>
              </w:rPr>
              <w:t>20分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jc w:val="center"/>
              <w:rPr>
                <w:rFonts w:cs="宋体"/>
                <w:color w:val="000000"/>
                <w:szCs w:val="21"/>
              </w:rPr>
            </w:pPr>
          </w:p>
        </w:tc>
        <w:tc>
          <w:tcPr>
            <w:tcW w:w="11429" w:type="dxa"/>
            <w:tcMar>
              <w:top w:w="57" w:type="dxa"/>
              <w:bottom w:w="57" w:type="dxa"/>
            </w:tcMar>
            <w:vAlign w:val="center"/>
          </w:tcPr>
          <w:p>
            <w:pPr>
              <w:adjustRightInd w:val="0"/>
              <w:snapToGrid w:val="0"/>
              <w:jc w:val="left"/>
              <w:rPr>
                <w:rFonts w:cs="宋体"/>
                <w:color w:val="000000"/>
                <w:szCs w:val="21"/>
              </w:rPr>
            </w:pPr>
            <w:r>
              <w:rPr>
                <w:rFonts w:hint="eastAsia" w:cs="宋体"/>
                <w:color w:val="000000"/>
                <w:szCs w:val="21"/>
              </w:rPr>
              <w:t xml:space="preserve">    </w:t>
            </w:r>
            <w:r>
              <w:rPr>
                <w:rFonts w:hint="eastAsia" w:cs="宋体"/>
                <w:b/>
                <w:color w:val="000000"/>
                <w:szCs w:val="21"/>
              </w:rPr>
              <w:t>25.专业能力。</w:t>
            </w:r>
            <w:r>
              <w:rPr>
                <w:rFonts w:hint="eastAsia" w:cs="宋体"/>
                <w:color w:val="000000"/>
                <w:szCs w:val="21"/>
              </w:rPr>
              <w:t>教师达到《中学教师专业标准（试行）》要求；教师专业理念和师德达到职业理解与认识、对学生的态度与行为、教育教学的态度与行为、个人修养与行为等4个领域标准；教师专业知识达到教育知识、学科知识、学科教学知识、通识性知识等4个领域标准；教师专业能力达到教学设计、教学实施、班级管理与教育活动、教育教学评价、沟通与合作、反思与发展等6个领域标准；具备较强的育德、课程教学、作业与考试命题设计、实验操作和家庭教育指导等能力以及必备的信息技术应用能力；具备学生发展指导、走班教学管理、学生综合素质评价等能力；教学研究能力强，具备一专多能和跨学科教学能力；专任教师持有高级中学教师资格证书，其他人员持证上岗。</w:t>
            </w:r>
          </w:p>
        </w:tc>
        <w:tc>
          <w:tcPr>
            <w:tcW w:w="1123" w:type="dxa"/>
            <w:vAlign w:val="center"/>
          </w:tcPr>
          <w:p>
            <w:pPr>
              <w:adjustRightInd w:val="0"/>
              <w:snapToGrid w:val="0"/>
              <w:rPr>
                <w:rFonts w:cs="宋体"/>
                <w:color w:val="000000"/>
                <w:szCs w:val="21"/>
              </w:rPr>
            </w:pPr>
            <w:r>
              <w:rPr>
                <w:rFonts w:hint="eastAsia" w:cs="宋体"/>
                <w:color w:val="000000"/>
                <w:szCs w:val="21"/>
              </w:rPr>
              <w:t>共8项，每项3分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24分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jc w:val="left"/>
              <w:rPr>
                <w:rFonts w:cs="宋体"/>
                <w:color w:val="000000"/>
                <w:szCs w:val="21"/>
              </w:rPr>
            </w:pPr>
            <w:r>
              <w:rPr>
                <w:rFonts w:hint="eastAsia" w:cs="宋体"/>
                <w:color w:val="000000"/>
                <w:szCs w:val="21"/>
              </w:rPr>
              <w:t xml:space="preserve">    </w:t>
            </w:r>
            <w:r>
              <w:rPr>
                <w:rFonts w:hint="eastAsia" w:cs="宋体"/>
                <w:b/>
                <w:color w:val="000000"/>
                <w:szCs w:val="21"/>
              </w:rPr>
              <w:t>26.培训培养。</w:t>
            </w:r>
            <w:r>
              <w:rPr>
                <w:rFonts w:hint="eastAsia" w:cs="宋体"/>
                <w:color w:val="000000"/>
                <w:szCs w:val="21"/>
              </w:rPr>
              <w:t>学校制定教师专业发展规划或培养计划、方案，教师制定个人专业发展规划，并有阶段性分析总结；把教师职业理想、职业道德教育、法治教育融入培养、培训和管理的全过程；教师素质提升工程实施方案、5年一轮不少于360学时全员培训计划、校本培训计划等实施成效显著（校长和教师按要求参加信息技术应用能力培训，专任教师每年至少参加2次信息化相关培训），教师培训档案齐全；大力实施高中教师新课程、新高考等全面培训，切实提升教师教育教学能力和水平，教师个性化、多样化发展成效明显；培养青年教师，培训骨干教师，骨干教师达到专任教师人数的20%以上，梯队基本形成，骨干教师中研究生学历（含硕士学位）不低于20%；实施“青蓝工程”，骨干教师每人每年包抓指导1-2名青年教师，指导成效明显；建立教师自身学习提升激励机制，鼓励教师参加学历提升和国培、省培等项目；教师每学期至少阅读1本教育专业书籍，撰写1篇教育叙事（或教育随笔）；学校按照年度公用经费预算总额的5%安排教师培训经费。</w:t>
            </w:r>
          </w:p>
        </w:tc>
        <w:tc>
          <w:tcPr>
            <w:tcW w:w="1123" w:type="dxa"/>
            <w:vAlign w:val="center"/>
          </w:tcPr>
          <w:p>
            <w:pPr>
              <w:adjustRightInd w:val="0"/>
              <w:snapToGrid w:val="0"/>
              <w:rPr>
                <w:rFonts w:cs="宋体"/>
                <w:color w:val="000000"/>
                <w:szCs w:val="21"/>
              </w:rPr>
            </w:pPr>
            <w:r>
              <w:rPr>
                <w:rFonts w:hint="eastAsia" w:cs="宋体"/>
                <w:color w:val="000000"/>
                <w:szCs w:val="21"/>
              </w:rPr>
              <w:t>共9项，每项2分</w:t>
            </w:r>
          </w:p>
        </w:tc>
        <w:tc>
          <w:tcPr>
            <w:tcW w:w="809" w:type="dxa"/>
            <w:vAlign w:val="center"/>
          </w:tcPr>
          <w:p>
            <w:pPr>
              <w:adjustRightInd w:val="0"/>
              <w:snapToGrid w:val="0"/>
              <w:jc w:val="center"/>
              <w:rPr>
                <w:rFonts w:cs="宋体"/>
                <w:color w:val="000000"/>
                <w:szCs w:val="21"/>
              </w:rPr>
            </w:pPr>
            <w:r>
              <w:rPr>
                <w:rFonts w:hint="eastAsia" w:cs="宋体"/>
                <w:color w:val="000000"/>
                <w:szCs w:val="21"/>
              </w:rPr>
              <w:t>18分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jc w:val="center"/>
              <w:rPr>
                <w:rFonts w:cs="宋体"/>
                <w:color w:val="000000"/>
                <w:szCs w:val="21"/>
              </w:rPr>
            </w:pPr>
          </w:p>
        </w:tc>
        <w:tc>
          <w:tcPr>
            <w:tcW w:w="11429" w:type="dxa"/>
            <w:tcMar>
              <w:top w:w="57" w:type="dxa"/>
              <w:bottom w:w="57" w:type="dxa"/>
            </w:tcMar>
            <w:vAlign w:val="center"/>
          </w:tcPr>
          <w:p>
            <w:pPr>
              <w:adjustRightInd w:val="0"/>
              <w:snapToGrid w:val="0"/>
              <w:jc w:val="left"/>
              <w:rPr>
                <w:rFonts w:cs="宋体"/>
                <w:color w:val="000000"/>
                <w:szCs w:val="21"/>
              </w:rPr>
            </w:pPr>
            <w:r>
              <w:rPr>
                <w:rFonts w:hint="eastAsia" w:cs="宋体"/>
                <w:color w:val="000000"/>
                <w:szCs w:val="21"/>
              </w:rPr>
              <w:t xml:space="preserve">    </w:t>
            </w:r>
            <w:r>
              <w:rPr>
                <w:rFonts w:hint="eastAsia" w:cs="宋体"/>
                <w:b/>
                <w:color w:val="000000"/>
                <w:szCs w:val="21"/>
              </w:rPr>
              <w:t>27.激励保障。</w:t>
            </w:r>
            <w:r>
              <w:rPr>
                <w:rFonts w:hint="eastAsia" w:cs="宋体"/>
                <w:color w:val="000000"/>
                <w:szCs w:val="21"/>
              </w:rPr>
              <w:t>建立教师教学述评制度，有健全的教师评价、表彰奖励机制和惩处问责机制，评价结果作为对教师、班</w:t>
            </w:r>
            <w:r>
              <w:rPr>
                <w:rFonts w:hint="eastAsia" w:cs="宋体"/>
                <w:color w:val="000000"/>
                <w:spacing w:val="-6"/>
                <w:szCs w:val="21"/>
              </w:rPr>
              <w:t>主任考核的主要依据；完善校内绩效工资分配办法，充分体现教师工作量和实际业绩，绩效工资分配向班主任、教学一线和教育教学成果突出的教师倾斜；教师职称评定在同等条件下向体育、音乐、美术、信息科技学科教师倾斜；依法为教师足额缴纳社会保险费和住房公积金；公办学校教师的医疗同当地公务员享受同等待遇，每年对教师进行身体健康检查；班主任工作量按标准课时工作量的一半计入；每年表彰奖励1次优秀教师和先进教育工作者；教职工对绩效考核制度满意率不低于85%。</w:t>
            </w:r>
          </w:p>
        </w:tc>
        <w:tc>
          <w:tcPr>
            <w:tcW w:w="1123" w:type="dxa"/>
            <w:vAlign w:val="center"/>
          </w:tcPr>
          <w:p>
            <w:pPr>
              <w:adjustRightInd w:val="0"/>
              <w:snapToGrid w:val="0"/>
              <w:rPr>
                <w:rFonts w:hint="eastAsia" w:cs="宋体"/>
                <w:color w:val="000000"/>
                <w:kern w:val="0"/>
                <w:szCs w:val="21"/>
              </w:rPr>
            </w:pPr>
            <w:r>
              <w:rPr>
                <w:rFonts w:hint="eastAsia" w:cs="宋体"/>
                <w:color w:val="000000"/>
                <w:kern w:val="0"/>
                <w:szCs w:val="21"/>
              </w:rPr>
              <w:t>共8项，每项3分</w:t>
            </w:r>
          </w:p>
        </w:tc>
        <w:tc>
          <w:tcPr>
            <w:tcW w:w="809" w:type="dxa"/>
            <w:vAlign w:val="center"/>
          </w:tcPr>
          <w:p>
            <w:pPr>
              <w:adjustRightInd w:val="0"/>
              <w:snapToGrid w:val="0"/>
              <w:jc w:val="center"/>
              <w:rPr>
                <w:rFonts w:hint="eastAsia" w:cs="宋体"/>
                <w:color w:val="000000"/>
                <w:kern w:val="0"/>
                <w:szCs w:val="21"/>
              </w:rPr>
            </w:pPr>
            <w:r>
              <w:rPr>
                <w:rFonts w:hint="eastAsia" w:cs="宋体"/>
                <w:color w:val="000000"/>
                <w:kern w:val="0"/>
                <w:szCs w:val="21"/>
              </w:rPr>
              <w:t>24分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restart"/>
            <w:vAlign w:val="center"/>
          </w:tcPr>
          <w:p>
            <w:pPr>
              <w:adjustRightInd w:val="0"/>
              <w:snapToGrid w:val="0"/>
              <w:rPr>
                <w:rFonts w:hint="eastAsia" w:cs="宋体"/>
                <w:color w:val="000000"/>
                <w:szCs w:val="21"/>
              </w:rPr>
            </w:pPr>
            <w:r>
              <w:rPr>
                <w:rFonts w:hint="eastAsia" w:cs="宋体"/>
                <w:color w:val="000000"/>
                <w:szCs w:val="21"/>
              </w:rPr>
              <w:t>五、促进学生全面发展</w:t>
            </w:r>
          </w:p>
          <w:p>
            <w:pPr>
              <w:adjustRightInd w:val="0"/>
              <w:snapToGrid w:val="0"/>
              <w:jc w:val="center"/>
              <w:rPr>
                <w:rFonts w:hint="eastAsia" w:cs="宋体"/>
                <w:color w:val="000000"/>
                <w:szCs w:val="21"/>
              </w:rPr>
            </w:pPr>
            <w:r>
              <w:rPr>
                <w:rFonts w:hint="eastAsia" w:cs="宋体"/>
                <w:color w:val="000000"/>
                <w:szCs w:val="21"/>
              </w:rPr>
              <w:t>（120分）</w:t>
            </w:r>
          </w:p>
        </w:tc>
        <w:tc>
          <w:tcPr>
            <w:tcW w:w="11429" w:type="dxa"/>
            <w:tcMar>
              <w:top w:w="57" w:type="dxa"/>
              <w:bottom w:w="57" w:type="dxa"/>
            </w:tcMar>
            <w:vAlign w:val="center"/>
          </w:tcPr>
          <w:p>
            <w:pPr>
              <w:adjustRightInd w:val="0"/>
              <w:snapToGrid w:val="0"/>
              <w:rPr>
                <w:rFonts w:cs="宋体"/>
                <w:color w:val="000000"/>
                <w:kern w:val="0"/>
                <w:szCs w:val="21"/>
              </w:rPr>
            </w:pPr>
            <w:r>
              <w:rPr>
                <w:rFonts w:hint="eastAsia" w:cs="宋体"/>
                <w:b/>
                <w:color w:val="000000"/>
                <w:kern w:val="0"/>
                <w:szCs w:val="21"/>
              </w:rPr>
              <w:t xml:space="preserve">    28.</w:t>
            </w:r>
            <w:r>
              <w:rPr>
                <w:rFonts w:hint="eastAsia" w:cs="宋体"/>
                <w:b/>
                <w:color w:val="000000"/>
                <w:szCs w:val="21"/>
              </w:rPr>
              <w:t>品</w:t>
            </w:r>
            <w:r>
              <w:rPr>
                <w:rFonts w:hint="eastAsia" w:cs="宋体"/>
                <w:b/>
                <w:color w:val="000000"/>
                <w:kern w:val="0"/>
                <w:szCs w:val="21"/>
              </w:rPr>
              <w:t>德</w:t>
            </w:r>
            <w:r>
              <w:rPr>
                <w:rFonts w:hint="eastAsia" w:cs="宋体"/>
                <w:b/>
                <w:color w:val="000000"/>
                <w:szCs w:val="21"/>
              </w:rPr>
              <w:t>发展。</w:t>
            </w:r>
            <w:r>
              <w:rPr>
                <w:rFonts w:hint="eastAsia" w:cs="宋体"/>
                <w:color w:val="000000"/>
                <w:szCs w:val="21"/>
              </w:rPr>
              <w:t>学生具有良好的思想品质，热爱中国共产党、热爱祖国、热爱人民、</w:t>
            </w:r>
            <w:r>
              <w:rPr>
                <w:rFonts w:hint="eastAsia" w:cs="宋体"/>
                <w:color w:val="000000"/>
                <w:spacing w:val="-6"/>
                <w:szCs w:val="21"/>
              </w:rPr>
              <w:t>热</w:t>
            </w:r>
            <w:r>
              <w:rPr>
                <w:rFonts w:hint="eastAsia" w:cs="宋体"/>
                <w:color w:val="000000"/>
                <w:szCs w:val="21"/>
              </w:rPr>
              <w:t>爱社会主义</w:t>
            </w:r>
            <w:r>
              <w:rPr>
                <w:rFonts w:hint="eastAsia" w:cs="宋体"/>
                <w:color w:val="000000"/>
                <w:spacing w:val="-6"/>
                <w:szCs w:val="21"/>
              </w:rPr>
              <w:t>，</w:t>
            </w:r>
            <w:r>
              <w:rPr>
                <w:rFonts w:hint="eastAsia" w:cs="宋体"/>
                <w:color w:val="000000"/>
                <w:szCs w:val="21"/>
              </w:rPr>
              <w:t>初步形成正确的世界观、人生观和价值观，树立“四个自信”；道德品质良好，具备社会责任感，遵守法律法规、校规校纪、社会公德和公共秩序；养成良好的行为习惯，注重仪表，举止文明，礼貌待人，知错就改，朴素节俭，孝敬长辈，懂得感恩，尊重他人，与人和谐相处；</w:t>
            </w:r>
            <w:r>
              <w:rPr>
                <w:rFonts w:hint="eastAsia" w:cs="宋体"/>
                <w:color w:val="000000"/>
                <w:kern w:val="0"/>
                <w:szCs w:val="21"/>
              </w:rPr>
              <w:t>参加升旗、主题教育</w:t>
            </w:r>
            <w:r>
              <w:rPr>
                <w:rFonts w:hint="eastAsia" w:cs="宋体"/>
                <w:color w:val="000000"/>
                <w:szCs w:val="21"/>
              </w:rPr>
              <w:t>和党团活动，</w:t>
            </w:r>
            <w:r>
              <w:rPr>
                <w:rFonts w:hint="eastAsia" w:cs="宋体"/>
                <w:color w:val="000000"/>
                <w:kern w:val="0"/>
                <w:szCs w:val="21"/>
              </w:rPr>
              <w:t>以及</w:t>
            </w:r>
            <w:r>
              <w:rPr>
                <w:rFonts w:hint="eastAsia" w:cs="宋体"/>
                <w:color w:val="000000"/>
                <w:szCs w:val="21"/>
              </w:rPr>
              <w:t>学校组织的</w:t>
            </w:r>
            <w:r>
              <w:rPr>
                <w:rFonts w:hint="eastAsia" w:cs="宋体"/>
                <w:color w:val="000000"/>
                <w:kern w:val="0"/>
                <w:szCs w:val="21"/>
              </w:rPr>
              <w:t>集体活动；主动为学校、班级和他人服务，参与公益劳动、志愿服务（向孤寡老人、留守儿童、残疾人等弱势群体提供帮助，在福利院、医院、社会救助机构等公共场所、社会组织或环境保护等活动中做志愿者等）；</w:t>
            </w:r>
            <w:r>
              <w:rPr>
                <w:rFonts w:hint="eastAsia" w:cs="宋体"/>
                <w:color w:val="000000"/>
                <w:szCs w:val="21"/>
              </w:rPr>
              <w:t>每学期参加法制教育主题活</w:t>
            </w:r>
            <w:r>
              <w:rPr>
                <w:rFonts w:hint="eastAsia" w:cs="宋体"/>
                <w:color w:val="000000"/>
                <w:kern w:val="0"/>
                <w:szCs w:val="21"/>
              </w:rPr>
              <w:t>动不少于4次；学生</w:t>
            </w:r>
            <w:r>
              <w:rPr>
                <w:rFonts w:hint="eastAsia" w:cs="宋体"/>
                <w:color w:val="000000"/>
                <w:szCs w:val="21"/>
              </w:rPr>
              <w:t>操行合格率达到98%。</w:t>
            </w:r>
          </w:p>
        </w:tc>
        <w:tc>
          <w:tcPr>
            <w:tcW w:w="1123" w:type="dxa"/>
            <w:vAlign w:val="center"/>
          </w:tcPr>
          <w:p>
            <w:pPr>
              <w:adjustRightInd w:val="0"/>
              <w:snapToGrid w:val="0"/>
              <w:rPr>
                <w:rFonts w:cs="宋体"/>
                <w:color w:val="000000"/>
                <w:szCs w:val="21"/>
              </w:rPr>
            </w:pPr>
            <w:r>
              <w:rPr>
                <w:rFonts w:hint="eastAsia" w:cs="宋体"/>
                <w:color w:val="000000"/>
                <w:szCs w:val="21"/>
              </w:rPr>
              <w:t>共7项，每项4分</w:t>
            </w:r>
          </w:p>
        </w:tc>
        <w:tc>
          <w:tcPr>
            <w:tcW w:w="809" w:type="dxa"/>
            <w:vAlign w:val="center"/>
          </w:tcPr>
          <w:p>
            <w:pPr>
              <w:adjustRightInd w:val="0"/>
              <w:snapToGrid w:val="0"/>
              <w:jc w:val="center"/>
              <w:rPr>
                <w:rFonts w:cs="宋体"/>
                <w:color w:val="000000"/>
                <w:szCs w:val="21"/>
              </w:rPr>
            </w:pPr>
            <w:r>
              <w:rPr>
                <w:rFonts w:hint="eastAsia" w:cs="宋体"/>
                <w:color w:val="000000"/>
                <w:szCs w:val="21"/>
              </w:rPr>
              <w:t>28分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85" w:type="dxa"/>
              <w:bottom w:w="85" w:type="dxa"/>
            </w:tcMar>
            <w:vAlign w:val="center"/>
          </w:tcPr>
          <w:p>
            <w:pPr>
              <w:adjustRightInd w:val="0"/>
              <w:snapToGrid w:val="0"/>
              <w:rPr>
                <w:rFonts w:cs="宋体"/>
                <w:bCs/>
                <w:color w:val="000000"/>
                <w:kern w:val="0"/>
                <w:szCs w:val="21"/>
              </w:rPr>
            </w:pPr>
            <w:r>
              <w:rPr>
                <w:rFonts w:hint="eastAsia" w:cs="宋体"/>
                <w:b/>
                <w:color w:val="000000"/>
                <w:kern w:val="0"/>
                <w:szCs w:val="21"/>
              </w:rPr>
              <w:t xml:space="preserve">    29.学业发展。</w:t>
            </w:r>
            <w:r>
              <w:rPr>
                <w:rFonts w:hint="eastAsia" w:cs="宋体"/>
                <w:color w:val="000000"/>
                <w:szCs w:val="21"/>
              </w:rPr>
              <w:t>学生掌握学科基本知识和技能，理解学科基本思想和思维方法，形成学科素养；</w:t>
            </w:r>
            <w:r>
              <w:rPr>
                <w:rFonts w:hint="eastAsia" w:cs="宋体"/>
                <w:color w:val="000000"/>
                <w:kern w:val="0"/>
                <w:szCs w:val="21"/>
              </w:rPr>
              <w:t>按规定完成必修学分、选择性必修学分和选修学分合计不少于144学分（必修学分为88学分，选择性必修学分不少于42学分，选修学分不少于14学分）；</w:t>
            </w:r>
            <w:r>
              <w:rPr>
                <w:rFonts w:hint="eastAsia" w:cs="宋体"/>
                <w:color w:val="000000"/>
                <w:szCs w:val="21"/>
              </w:rPr>
              <w:t>高中学业水平考试合格率</w:t>
            </w:r>
            <w:r>
              <w:rPr>
                <w:rFonts w:hint="eastAsia" w:cs="宋体"/>
                <w:color w:val="000000"/>
                <w:kern w:val="0"/>
                <w:szCs w:val="21"/>
              </w:rPr>
              <w:t>达标，</w:t>
            </w:r>
            <w:r>
              <w:rPr>
                <w:rFonts w:hint="eastAsia" w:cs="宋体"/>
                <w:color w:val="000000"/>
                <w:szCs w:val="21"/>
              </w:rPr>
              <w:t>毕业合格率达</w:t>
            </w:r>
            <w:r>
              <w:rPr>
                <w:rFonts w:hint="eastAsia" w:cs="宋体"/>
                <w:color w:val="000000"/>
                <w:kern w:val="0"/>
                <w:szCs w:val="21"/>
              </w:rPr>
              <w:t>到97%；主动</w:t>
            </w:r>
            <w:r>
              <w:rPr>
                <w:rFonts w:hint="eastAsia" w:cs="宋体"/>
                <w:color w:val="000000"/>
                <w:szCs w:val="21"/>
              </w:rPr>
              <w:t>参与实验设计，能够完成实验操作；注重知行合一，学以致用，具有信息收集整合、综合分析运用能力，具有善于追问反思、批判质疑、自主探究和发现问题、提出问题、用科学思维方式解决问题的能力；每学期学生综合素质评价合格率达到98%；实验操作合格率达到95%；计算机操作合格率达到95%，能利用各种学习平台进行学习、交流和分享；音乐、美术合格率分别达到90%；具有探究意识、科学思维习惯和能力，积极参与小发明、小制作、小创造等活动。</w:t>
            </w:r>
          </w:p>
        </w:tc>
        <w:tc>
          <w:tcPr>
            <w:tcW w:w="1123" w:type="dxa"/>
            <w:vAlign w:val="center"/>
          </w:tcPr>
          <w:p>
            <w:pPr>
              <w:adjustRightInd w:val="0"/>
              <w:snapToGrid w:val="0"/>
              <w:rPr>
                <w:rFonts w:cs="宋体"/>
                <w:color w:val="000000"/>
                <w:szCs w:val="21"/>
              </w:rPr>
            </w:pPr>
            <w:r>
              <w:rPr>
                <w:rFonts w:hint="eastAsia" w:cs="宋体"/>
                <w:color w:val="000000"/>
                <w:szCs w:val="21"/>
              </w:rPr>
              <w:t>共10项，每项3分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30分</w:t>
            </w:r>
          </w:p>
        </w:tc>
        <w:tc>
          <w:tcPr>
            <w:tcW w:w="653"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1155" w:type="dxa"/>
            <w:vMerge w:val="continue"/>
            <w:vAlign w:val="center"/>
          </w:tcPr>
          <w:p>
            <w:pPr>
              <w:adjustRightInd w:val="0"/>
              <w:snapToGrid w:val="0"/>
              <w:jc w:val="center"/>
              <w:rPr>
                <w:rFonts w:cs="宋体"/>
                <w:color w:val="000000"/>
                <w:szCs w:val="21"/>
              </w:rPr>
            </w:pPr>
          </w:p>
        </w:tc>
        <w:tc>
          <w:tcPr>
            <w:tcW w:w="11429" w:type="dxa"/>
            <w:tcMar>
              <w:top w:w="57" w:type="dxa"/>
              <w:bottom w:w="57" w:type="dxa"/>
            </w:tcMar>
            <w:vAlign w:val="center"/>
          </w:tcPr>
          <w:p>
            <w:pPr>
              <w:adjustRightInd w:val="0"/>
              <w:snapToGrid w:val="0"/>
              <w:rPr>
                <w:rFonts w:cs="宋体"/>
                <w:color w:val="000000"/>
                <w:kern w:val="0"/>
                <w:szCs w:val="21"/>
              </w:rPr>
            </w:pPr>
            <w:r>
              <w:rPr>
                <w:rFonts w:hint="eastAsia" w:cs="宋体"/>
                <w:b/>
                <w:color w:val="000000"/>
                <w:kern w:val="0"/>
                <w:szCs w:val="21"/>
              </w:rPr>
              <w:t xml:space="preserve">    30.身心发展。</w:t>
            </w:r>
            <w:r>
              <w:rPr>
                <w:rFonts w:hint="eastAsia" w:cs="宋体"/>
                <w:color w:val="000000"/>
                <w:szCs w:val="21"/>
              </w:rPr>
              <w:t>学生具有良好的锻炼习惯，掌握1-3项体育运动技能；运动技能和体质健康水平明显提升，国家学生体质健康监测测试合格率达到95%、良好率达到50%；养成健康生活习惯，按时作息，保证充足睡眠，不过度使用手机，不沉迷网络游戏，不吸烟，不喝酒，不赌博，远离毒品；有效控制近视、肥胖，学生视力不良年度新发病率低于4%，全校学生平均近视率较上年下降1%；掌握安全、卫生防疫等基本知识，具备避险和紧急情况应对能力，具备安全事故防范和自救能力；学生掌握基本的心理健康知识、心理调节方法，正确看待困难和挫折，具备应对学习压力，生活困难和寻求帮助的积极心理素质和能力，保持乐观向上、阳光健康心态；善于与他人交往，合理表达、调控自我情绪；个性心理品质良好，能确立适合自己心理特征的职业志向；学生运动参与、运动技能、身体健康、心理健康、社会适应等5个领域达到普通高中各学科课程标准要求。</w:t>
            </w:r>
          </w:p>
        </w:tc>
        <w:tc>
          <w:tcPr>
            <w:tcW w:w="1123" w:type="dxa"/>
            <w:vAlign w:val="center"/>
          </w:tcPr>
          <w:p>
            <w:pPr>
              <w:adjustRightInd w:val="0"/>
              <w:snapToGrid w:val="0"/>
              <w:rPr>
                <w:rFonts w:cs="宋体"/>
                <w:color w:val="000000"/>
                <w:szCs w:val="21"/>
              </w:rPr>
            </w:pPr>
          </w:p>
          <w:p>
            <w:pPr>
              <w:adjustRightInd w:val="0"/>
              <w:snapToGrid w:val="0"/>
              <w:rPr>
                <w:rFonts w:cs="宋体"/>
                <w:color w:val="000000"/>
                <w:szCs w:val="21"/>
              </w:rPr>
            </w:pPr>
            <w:r>
              <w:rPr>
                <w:rFonts w:hint="eastAsia" w:cs="宋体"/>
                <w:color w:val="000000"/>
                <w:szCs w:val="21"/>
              </w:rPr>
              <w:t>共9项，每项2分</w:t>
            </w:r>
          </w:p>
        </w:tc>
        <w:tc>
          <w:tcPr>
            <w:tcW w:w="809" w:type="dxa"/>
            <w:vAlign w:val="center"/>
          </w:tcPr>
          <w:p>
            <w:pPr>
              <w:adjustRightInd w:val="0"/>
              <w:snapToGrid w:val="0"/>
              <w:jc w:val="center"/>
              <w:rPr>
                <w:rFonts w:cs="宋体"/>
                <w:color w:val="000000"/>
                <w:szCs w:val="21"/>
              </w:rPr>
            </w:pPr>
          </w:p>
          <w:p>
            <w:pPr>
              <w:adjustRightInd w:val="0"/>
              <w:snapToGrid w:val="0"/>
              <w:jc w:val="center"/>
              <w:rPr>
                <w:rFonts w:cs="宋体"/>
                <w:color w:val="000000"/>
                <w:szCs w:val="21"/>
              </w:rPr>
            </w:pPr>
            <w:r>
              <w:rPr>
                <w:rFonts w:hint="eastAsia" w:cs="宋体"/>
                <w:color w:val="000000"/>
                <w:szCs w:val="21"/>
              </w:rPr>
              <w:t>18分</w:t>
            </w:r>
          </w:p>
        </w:tc>
        <w:tc>
          <w:tcPr>
            <w:tcW w:w="653"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rPr>
                <w:rFonts w:cs="宋体"/>
                <w:color w:val="000000"/>
                <w:kern w:val="0"/>
                <w:szCs w:val="21"/>
              </w:rPr>
            </w:pPr>
            <w:r>
              <w:rPr>
                <w:rFonts w:hint="eastAsia" w:cs="宋体"/>
                <w:b/>
                <w:color w:val="000000"/>
                <w:kern w:val="0"/>
                <w:szCs w:val="21"/>
              </w:rPr>
              <w:t xml:space="preserve">    31.个性发展。</w:t>
            </w:r>
            <w:r>
              <w:rPr>
                <w:rFonts w:hint="eastAsia" w:cs="宋体"/>
                <w:color w:val="000000"/>
                <w:szCs w:val="21"/>
              </w:rPr>
              <w:t>学校在学生兴趣爱好满足、个性特长发挥等方面与学校特色、育人模式匹配度高；学生综合素质良好，个性特长鲜明，知识结构多元化；掌握1-2项艺术技能，会唱主旋律歌曲；在音乐、美术、舞蹈、戏剧、戏曲、影视、播音、书法等方面表现出明显的兴趣和特长；学校艺术社团作用明显，学生参与率达到80%以上；参加各类艺术比赛等活动，成果显著，体音美劳比赛中获奖人数占在校生总数3%以上；90%的学生掌握一项通过系统选修课培养的职业技能；为高等级学校输送特长生。</w:t>
            </w:r>
          </w:p>
        </w:tc>
        <w:tc>
          <w:tcPr>
            <w:tcW w:w="1123" w:type="dxa"/>
            <w:vAlign w:val="center"/>
          </w:tcPr>
          <w:p>
            <w:pPr>
              <w:adjustRightInd w:val="0"/>
              <w:snapToGrid w:val="0"/>
              <w:rPr>
                <w:rFonts w:cs="宋体"/>
                <w:color w:val="000000"/>
                <w:szCs w:val="21"/>
              </w:rPr>
            </w:pPr>
            <w:r>
              <w:rPr>
                <w:rFonts w:hint="eastAsia" w:cs="宋体"/>
                <w:color w:val="000000"/>
                <w:szCs w:val="21"/>
              </w:rPr>
              <w:t>共8项，每项3分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24分</w:t>
            </w:r>
          </w:p>
        </w:tc>
        <w:tc>
          <w:tcPr>
            <w:tcW w:w="653"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rPr>
                <w:rFonts w:cs="宋体"/>
                <w:color w:val="000000"/>
                <w:szCs w:val="21"/>
              </w:rPr>
            </w:pPr>
            <w:r>
              <w:rPr>
                <w:rFonts w:hint="eastAsia" w:cs="宋体"/>
                <w:b/>
                <w:color w:val="000000"/>
                <w:kern w:val="0"/>
                <w:szCs w:val="21"/>
              </w:rPr>
              <w:t xml:space="preserve">    32.劳动与实践。</w:t>
            </w:r>
            <w:r>
              <w:rPr>
                <w:rFonts w:hint="eastAsia" w:cs="宋体"/>
                <w:color w:val="000000"/>
                <w:szCs w:val="21"/>
              </w:rPr>
              <w:t>尊重劳动、热爱劳动，能够吃苦耐劳，珍惜劳动成果；积极参加家务劳动、校内外劳动，具备良好的生活能力，掌握一定的劳动技能，具备2种以上综合实践能力；在社会生活中动手操作、体验经历，每学期参加社会实践活动（社会考察、社会调查、素质拓展、研学实践等）不少于5次；在农业生产、工业生产、商业和服务业实践中，主动体验职业角色，对职业有客观认识，具有初步的职业生涯规划意识，并能科学制定职业生涯规划。</w:t>
            </w:r>
          </w:p>
        </w:tc>
        <w:tc>
          <w:tcPr>
            <w:tcW w:w="1123" w:type="dxa"/>
            <w:vAlign w:val="center"/>
          </w:tcPr>
          <w:p>
            <w:pPr>
              <w:adjustRightInd w:val="0"/>
              <w:snapToGrid w:val="0"/>
              <w:rPr>
                <w:rFonts w:cs="宋体"/>
                <w:color w:val="000000"/>
                <w:szCs w:val="21"/>
              </w:rPr>
            </w:pPr>
            <w:r>
              <w:rPr>
                <w:rFonts w:hint="eastAsia" w:cs="宋体"/>
                <w:color w:val="000000"/>
                <w:szCs w:val="21"/>
              </w:rPr>
              <w:t>共4项，每项5分</w:t>
            </w:r>
          </w:p>
        </w:tc>
        <w:tc>
          <w:tcPr>
            <w:tcW w:w="809" w:type="dxa"/>
            <w:vAlign w:val="center"/>
          </w:tcPr>
          <w:p>
            <w:pPr>
              <w:adjustRightInd w:val="0"/>
              <w:snapToGrid w:val="0"/>
              <w:jc w:val="center"/>
              <w:rPr>
                <w:rFonts w:cs="宋体"/>
                <w:color w:val="000000"/>
                <w:szCs w:val="21"/>
              </w:rPr>
            </w:pPr>
            <w:r>
              <w:rPr>
                <w:rFonts w:hint="eastAsia" w:cs="宋体"/>
                <w:color w:val="000000"/>
                <w:szCs w:val="21"/>
              </w:rPr>
              <w:t>20分</w:t>
            </w:r>
          </w:p>
        </w:tc>
        <w:tc>
          <w:tcPr>
            <w:tcW w:w="653"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155" w:type="dxa"/>
            <w:vMerge w:val="restart"/>
            <w:vAlign w:val="center"/>
          </w:tcPr>
          <w:p>
            <w:pPr>
              <w:adjustRightInd w:val="0"/>
              <w:snapToGrid w:val="0"/>
              <w:rPr>
                <w:rFonts w:hint="eastAsia" w:cs="宋体"/>
                <w:color w:val="000000"/>
                <w:szCs w:val="21"/>
              </w:rPr>
            </w:pPr>
            <w:r>
              <w:rPr>
                <w:rFonts w:hint="eastAsia" w:cs="宋体"/>
                <w:color w:val="000000"/>
                <w:szCs w:val="21"/>
              </w:rPr>
              <w:t>六、提升办学条件（100分）</w:t>
            </w:r>
          </w:p>
        </w:tc>
        <w:tc>
          <w:tcPr>
            <w:tcW w:w="11429" w:type="dxa"/>
            <w:tcMar>
              <w:top w:w="57" w:type="dxa"/>
              <w:bottom w:w="57" w:type="dxa"/>
            </w:tcMar>
            <w:vAlign w:val="center"/>
          </w:tcPr>
          <w:p>
            <w:pPr>
              <w:adjustRightInd w:val="0"/>
              <w:snapToGrid w:val="0"/>
              <w:rPr>
                <w:rFonts w:cs="宋体"/>
                <w:snapToGrid w:val="0"/>
                <w:color w:val="000000"/>
                <w:kern w:val="0"/>
                <w:szCs w:val="21"/>
              </w:rPr>
            </w:pPr>
            <w:r>
              <w:rPr>
                <w:rFonts w:hint="eastAsia" w:cs="宋体"/>
                <w:b/>
                <w:color w:val="000000"/>
                <w:szCs w:val="21"/>
              </w:rPr>
              <w:t xml:space="preserve">    33.校园建设。</w:t>
            </w:r>
            <w:r>
              <w:rPr>
                <w:rFonts w:hint="eastAsia" w:cs="宋体"/>
                <w:color w:val="000000"/>
                <w:szCs w:val="21"/>
              </w:rPr>
              <w:t>学校设置在安全领域，周边无安全隐患，各类建筑及设施均符合《中小学校建筑设计规范》和安全标准；学校场地独立完整，产权合法，无法律纠纷；学校各功能区建设布局科学合理；校园用地、校舍建筑、校园绿化、自然科学用地、劳动实验基地面积均达到普通高级中学建设标准；坚持勤俭办学，严禁超标准建设校舍及设施。</w:t>
            </w:r>
          </w:p>
        </w:tc>
        <w:tc>
          <w:tcPr>
            <w:tcW w:w="1123" w:type="dxa"/>
            <w:vAlign w:val="center"/>
          </w:tcPr>
          <w:p>
            <w:pPr>
              <w:adjustRightInd w:val="0"/>
              <w:snapToGrid w:val="0"/>
              <w:rPr>
                <w:rFonts w:cs="宋体"/>
                <w:color w:val="000000"/>
                <w:szCs w:val="21"/>
              </w:rPr>
            </w:pPr>
            <w:r>
              <w:rPr>
                <w:rFonts w:hint="eastAsia" w:cs="宋体"/>
                <w:color w:val="000000"/>
                <w:szCs w:val="21"/>
              </w:rPr>
              <w:t>共5项，每项4分</w:t>
            </w:r>
          </w:p>
        </w:tc>
        <w:tc>
          <w:tcPr>
            <w:tcW w:w="809" w:type="dxa"/>
            <w:vAlign w:val="center"/>
          </w:tcPr>
          <w:p>
            <w:pPr>
              <w:adjustRightInd w:val="0"/>
              <w:snapToGrid w:val="0"/>
              <w:jc w:val="center"/>
              <w:rPr>
                <w:rFonts w:cs="宋体"/>
                <w:color w:val="000000"/>
                <w:szCs w:val="21"/>
              </w:rPr>
            </w:pPr>
            <w:r>
              <w:rPr>
                <w:rFonts w:hint="eastAsia" w:cs="宋体"/>
                <w:color w:val="000000"/>
                <w:szCs w:val="21"/>
              </w:rPr>
              <w:t>20分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rPr>
                <w:rFonts w:cs="宋体"/>
                <w:color w:val="000000"/>
                <w:kern w:val="0"/>
                <w:szCs w:val="21"/>
              </w:rPr>
            </w:pPr>
            <w:r>
              <w:rPr>
                <w:rFonts w:hint="eastAsia" w:cs="宋体"/>
                <w:b/>
                <w:bCs/>
                <w:color w:val="000000"/>
                <w:szCs w:val="21"/>
              </w:rPr>
              <w:t xml:space="preserve">    34.</w:t>
            </w:r>
            <w:r>
              <w:rPr>
                <w:rFonts w:hint="eastAsia" w:cs="宋体"/>
                <w:b/>
                <w:color w:val="000000"/>
                <w:szCs w:val="21"/>
              </w:rPr>
              <w:t>设施配备</w:t>
            </w:r>
            <w:r>
              <w:rPr>
                <w:rFonts w:hint="eastAsia" w:cs="宋体"/>
                <w:b/>
                <w:bCs/>
                <w:color w:val="000000"/>
                <w:szCs w:val="21"/>
              </w:rPr>
              <w:t>。</w:t>
            </w:r>
            <w:r>
              <w:rPr>
                <w:rFonts w:hint="eastAsia" w:cs="宋体"/>
                <w:color w:val="000000"/>
                <w:szCs w:val="21"/>
              </w:rPr>
              <w:t>功能部室设置、建设标准、设施配备、管理制度等达到省颁标准，符合新课改要求；理化生实验室和探究室、通用技术教室、计算机网络多媒体教室、多功能教室、地理教室、历史教室、科技活动室、社团活动室、体育活动室、体质监测室、体育器材室、音乐教室、舞蹈教室、美术教室、书法教室、图书室（馆）、阅览室、卫生（保健）室、心理辅导室、劳动课教室、会议室、德育展览室、档案资料室等功能部室和学生宿舍、食堂、餐厅、卫生间、饮水、淋浴房等设施达到普通高级中学建设标准要求；围绕提高学生综合素质，最大化提高功能部室和教育教学设施设备使用率，图书室（馆）每周开放时间原则上不少于40小时，确保每天课余时间、周末和寒暑假期间对师生有效开放，鼓励适当延长；图书借阅量每生每学年不低于15册，提倡学生每天课外阅读1小时。</w:t>
            </w:r>
          </w:p>
        </w:tc>
        <w:tc>
          <w:tcPr>
            <w:tcW w:w="1123" w:type="dxa"/>
            <w:vAlign w:val="center"/>
          </w:tcPr>
          <w:p>
            <w:pPr>
              <w:adjustRightInd w:val="0"/>
              <w:snapToGrid w:val="0"/>
              <w:rPr>
                <w:rFonts w:cs="宋体"/>
                <w:color w:val="000000"/>
                <w:szCs w:val="21"/>
              </w:rPr>
            </w:pPr>
            <w:r>
              <w:rPr>
                <w:rFonts w:hint="eastAsia" w:cs="宋体"/>
                <w:color w:val="000000"/>
                <w:szCs w:val="21"/>
              </w:rPr>
              <w:t>共4项，每项4分</w:t>
            </w:r>
          </w:p>
        </w:tc>
        <w:tc>
          <w:tcPr>
            <w:tcW w:w="809" w:type="dxa"/>
            <w:vAlign w:val="center"/>
          </w:tcPr>
          <w:p>
            <w:pPr>
              <w:adjustRightInd w:val="0"/>
              <w:snapToGrid w:val="0"/>
              <w:jc w:val="center"/>
              <w:rPr>
                <w:rFonts w:cs="宋体"/>
                <w:color w:val="000000"/>
                <w:szCs w:val="21"/>
              </w:rPr>
            </w:pPr>
            <w:r>
              <w:rPr>
                <w:rFonts w:hint="eastAsia" w:cs="宋体"/>
                <w:color w:val="000000"/>
                <w:szCs w:val="21"/>
              </w:rPr>
              <w:t>16分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170" w:type="dxa"/>
              <w:bottom w:w="170" w:type="dxa"/>
            </w:tcMar>
            <w:vAlign w:val="center"/>
          </w:tcPr>
          <w:p>
            <w:pPr>
              <w:adjustRightInd w:val="0"/>
              <w:snapToGrid w:val="0"/>
              <w:ind w:firstLine="422" w:firstLineChars="200"/>
              <w:rPr>
                <w:rFonts w:cs="宋体"/>
                <w:color w:val="000000"/>
                <w:szCs w:val="21"/>
              </w:rPr>
            </w:pPr>
            <w:r>
              <w:rPr>
                <w:rFonts w:hint="eastAsia" w:cs="宋体"/>
                <w:b/>
                <w:bCs/>
                <w:color w:val="000000"/>
                <w:szCs w:val="21"/>
              </w:rPr>
              <w:t>35.体育</w:t>
            </w:r>
            <w:r>
              <w:rPr>
                <w:rFonts w:hint="eastAsia" w:cs="宋体"/>
                <w:b/>
                <w:color w:val="000000"/>
                <w:szCs w:val="21"/>
              </w:rPr>
              <w:t>运动场</w:t>
            </w:r>
            <w:r>
              <w:rPr>
                <w:rFonts w:hint="eastAsia" w:cs="宋体"/>
                <w:b/>
                <w:bCs/>
                <w:color w:val="000000"/>
                <w:szCs w:val="21"/>
              </w:rPr>
              <w:t>馆。</w:t>
            </w:r>
            <w:r>
              <w:rPr>
                <w:rFonts w:hint="eastAsia" w:cs="宋体"/>
                <w:color w:val="000000"/>
                <w:szCs w:val="21"/>
              </w:rPr>
              <w:t>学校体育办学条件总体达到国家标准，消除土操场，实现弹性化（塑胶、天然或人工草坪），少于600人的学校设200米以上环道和100米直道，600-1200人学校设300米以上环道和100米直道，1200人以上学校设400米环道和100米直道；创造条件设置足球场地，田赛、径赛、球类、体操场地等布局合理；体育器材室使用面积50平方米以上；体育器材配置达到《国家学校体育卫生条件试行基本标准》；体育活动室满足1个教学班室内体育教学活动需求，有条件的学校建有体育馆；优化学生体质健康测试环境、设备、场地等条件，测试器材须是国家认证认可监督管理委员会批准认证的合格产品。</w:t>
            </w:r>
          </w:p>
        </w:tc>
        <w:tc>
          <w:tcPr>
            <w:tcW w:w="1123" w:type="dxa"/>
            <w:vAlign w:val="center"/>
          </w:tcPr>
          <w:p>
            <w:pPr>
              <w:adjustRightInd w:val="0"/>
              <w:snapToGrid w:val="0"/>
              <w:rPr>
                <w:rFonts w:cs="宋体"/>
                <w:color w:val="000000"/>
                <w:szCs w:val="21"/>
              </w:rPr>
            </w:pPr>
            <w:r>
              <w:rPr>
                <w:rFonts w:hint="eastAsia" w:cs="宋体"/>
                <w:color w:val="000000"/>
                <w:szCs w:val="21"/>
              </w:rPr>
              <w:t>共6项，每项3分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18分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5" w:hRule="atLeast"/>
        </w:trPr>
        <w:tc>
          <w:tcPr>
            <w:tcW w:w="1155" w:type="dxa"/>
            <w:vMerge w:val="continue"/>
            <w:vAlign w:val="center"/>
          </w:tcPr>
          <w:p>
            <w:pPr>
              <w:adjustRightInd w:val="0"/>
              <w:snapToGrid w:val="0"/>
              <w:jc w:val="center"/>
              <w:rPr>
                <w:rFonts w:cs="宋体"/>
                <w:color w:val="000000"/>
                <w:szCs w:val="21"/>
              </w:rPr>
            </w:pPr>
          </w:p>
        </w:tc>
        <w:tc>
          <w:tcPr>
            <w:tcW w:w="11429" w:type="dxa"/>
            <w:vAlign w:val="center"/>
          </w:tcPr>
          <w:p>
            <w:pPr>
              <w:adjustRightInd w:val="0"/>
              <w:snapToGrid w:val="0"/>
              <w:spacing w:beforeLines="50" w:afterLines="50"/>
              <w:ind w:firstLine="422" w:firstLineChars="200"/>
              <w:rPr>
                <w:rFonts w:cs="宋体"/>
                <w:bCs/>
                <w:color w:val="000000"/>
                <w:kern w:val="0"/>
                <w:szCs w:val="21"/>
              </w:rPr>
            </w:pPr>
            <w:r>
              <w:rPr>
                <w:rFonts w:hint="eastAsia" w:cs="宋体"/>
                <w:b/>
                <w:color w:val="000000"/>
                <w:szCs w:val="21"/>
              </w:rPr>
              <w:t>36.信息化。</w:t>
            </w:r>
            <w:r>
              <w:rPr>
                <w:snapToGrid w:val="0"/>
                <w:color w:val="000000"/>
                <w:kern w:val="0"/>
                <w:szCs w:val="21"/>
              </w:rPr>
              <w:t>实施基础教育数字化战略行动，学校信息化工作整体发展规划、年度计划、管理体系和制度健全，经费保障到位，</w:t>
            </w:r>
            <w:r>
              <w:rPr>
                <w:rFonts w:hint="eastAsia"/>
                <w:snapToGrid w:val="0"/>
                <w:color w:val="000000"/>
                <w:kern w:val="0"/>
                <w:szCs w:val="21"/>
              </w:rPr>
              <w:t>成立信息化工作管理部门</w:t>
            </w:r>
            <w:r>
              <w:rPr>
                <w:snapToGrid w:val="0"/>
                <w:color w:val="000000"/>
                <w:kern w:val="0"/>
                <w:szCs w:val="21"/>
              </w:rPr>
              <w:t>，</w:t>
            </w:r>
            <w:r>
              <w:rPr>
                <w:rFonts w:hint="eastAsia"/>
                <w:snapToGrid w:val="0"/>
                <w:color w:val="000000"/>
                <w:kern w:val="0"/>
                <w:szCs w:val="21"/>
              </w:rPr>
              <w:t>按照每千人一岗设置专职管理岗位（不含信息技术专任教师），不足千人按一岗计</w:t>
            </w:r>
            <w:r>
              <w:rPr>
                <w:snapToGrid w:val="0"/>
                <w:color w:val="000000"/>
                <w:kern w:val="0"/>
                <w:szCs w:val="21"/>
              </w:rPr>
              <w:t>；</w:t>
            </w:r>
            <w:r>
              <w:rPr>
                <w:rFonts w:hint="eastAsia"/>
                <w:b/>
                <w:bCs/>
                <w:snapToGrid w:val="0"/>
                <w:color w:val="000000"/>
                <w:kern w:val="0"/>
                <w:szCs w:val="21"/>
              </w:rPr>
              <w:t>基础设施：</w:t>
            </w:r>
            <w:r>
              <w:rPr>
                <w:rFonts w:hint="eastAsia"/>
                <w:snapToGrid w:val="0"/>
                <w:color w:val="000000"/>
                <w:kern w:val="0"/>
                <w:szCs w:val="21"/>
              </w:rPr>
              <w:t>互联网接入班均出口带宽不低于50Mbps，教室（含教学功能教室）交互式多媒体设备配备率达到100%；千人以上学校建有校园电视台和录播室，全校计算机总量达到每百名学生15台，装机数量按最大班额达到每生1机；</w:t>
            </w:r>
            <w:r>
              <w:rPr>
                <w:rFonts w:hint="eastAsia"/>
                <w:b/>
                <w:bCs/>
                <w:snapToGrid w:val="0"/>
                <w:color w:val="000000"/>
                <w:kern w:val="0"/>
                <w:szCs w:val="21"/>
              </w:rPr>
              <w:t>资源建设：</w:t>
            </w:r>
            <w:r>
              <w:rPr>
                <w:rFonts w:hint="eastAsia"/>
                <w:snapToGrid w:val="0"/>
                <w:color w:val="000000"/>
                <w:kern w:val="0"/>
                <w:szCs w:val="21"/>
              </w:rPr>
              <w:t>建设与上级数字教育资源平台互联互通的学科、课程资源库，整合</w:t>
            </w:r>
            <w:r>
              <w:rPr>
                <w:rFonts w:hint="eastAsia" w:cs="宋体"/>
                <w:snapToGrid w:val="0"/>
                <w:color w:val="000000"/>
                <w:kern w:val="0"/>
                <w:szCs w:val="21"/>
              </w:rPr>
              <w:t>校内外、国内外课程资源，建立内容丰富的网络课程；标准化以上高中、城市高中、农村高中信息资源总量分别不低于6T、3T、2T；</w:t>
            </w:r>
            <w:r>
              <w:rPr>
                <w:rFonts w:hint="eastAsia" w:cs="宋体"/>
                <w:b/>
                <w:bCs/>
                <w:snapToGrid w:val="0"/>
                <w:color w:val="000000"/>
                <w:kern w:val="0"/>
                <w:szCs w:val="21"/>
              </w:rPr>
              <w:t>智慧应用：</w:t>
            </w:r>
            <w:r>
              <w:rPr>
                <w:rFonts w:hint="eastAsia"/>
                <w:snapToGrid w:val="0"/>
                <w:color w:val="000000"/>
                <w:kern w:val="0"/>
                <w:szCs w:val="21"/>
              </w:rPr>
              <w:t>加强“专递课堂”“名师课堂”和“名校网络课堂”应用；推进“国家中小学智慧教育平台”和“陕西教育人人通平台”应用工作；</w:t>
            </w:r>
            <w:r>
              <w:rPr>
                <w:rFonts w:hint="eastAsia" w:cs="宋体"/>
                <w:snapToGrid w:val="0"/>
                <w:color w:val="000000"/>
                <w:kern w:val="0"/>
                <w:szCs w:val="21"/>
              </w:rPr>
              <w:t>建设智能化学习空间，支持师生开展自主学习、协作学习与探究学习；学校能应用各级平台实施教务、行政、教学、服务等信息化管理，能够有效支撑走班排课等新高考工作的开展；</w:t>
            </w:r>
            <w:r>
              <w:rPr>
                <w:rFonts w:hint="eastAsia" w:cs="宋体"/>
                <w:color w:val="000000"/>
                <w:szCs w:val="21"/>
              </w:rPr>
              <w:t>开展教师信息化应用培训</w:t>
            </w:r>
            <w:r>
              <w:rPr>
                <w:rFonts w:hint="eastAsia" w:cs="宋体"/>
                <w:snapToGrid w:val="0"/>
                <w:color w:val="000000"/>
                <w:kern w:val="0"/>
                <w:szCs w:val="21"/>
              </w:rPr>
              <w:t>，教师能熟练运用教学软硬件和信息技术开展教学、教研、科研和管理等工作，85%的教师能制作多媒体课件、微课等课程资源，专任教师利用学习空间参与网络教研活动每年不少于4次；学校有县级以上教育信息技术相关课题，</w:t>
            </w:r>
            <w:r>
              <w:rPr>
                <w:snapToGrid w:val="0"/>
                <w:color w:val="000000"/>
                <w:kern w:val="0"/>
                <w:szCs w:val="21"/>
              </w:rPr>
              <w:t>25%以上教师直接或间接参与各级</w:t>
            </w:r>
            <w:r>
              <w:rPr>
                <w:rFonts w:hint="eastAsia"/>
                <w:snapToGrid w:val="0"/>
                <w:color w:val="000000"/>
                <w:kern w:val="0"/>
                <w:szCs w:val="21"/>
              </w:rPr>
              <w:t>相关</w:t>
            </w:r>
            <w:r>
              <w:rPr>
                <w:snapToGrid w:val="0"/>
                <w:color w:val="000000"/>
                <w:kern w:val="0"/>
                <w:szCs w:val="21"/>
              </w:rPr>
              <w:t>课题研究</w:t>
            </w:r>
            <w:r>
              <w:rPr>
                <w:rFonts w:hint="eastAsia" w:cs="宋体"/>
                <w:snapToGrid w:val="0"/>
                <w:color w:val="000000"/>
                <w:kern w:val="0"/>
                <w:szCs w:val="21"/>
              </w:rPr>
              <w:t>；积极组织师生参与各级各类信息技术交流活动，并有作品获奖；面向学生开设人工智能教育课程和信息化支持下跨学科的综合创新实践活动。</w:t>
            </w:r>
          </w:p>
        </w:tc>
        <w:tc>
          <w:tcPr>
            <w:tcW w:w="1123" w:type="dxa"/>
            <w:vAlign w:val="center"/>
          </w:tcPr>
          <w:p>
            <w:pPr>
              <w:adjustRightInd w:val="0"/>
              <w:snapToGrid w:val="0"/>
              <w:rPr>
                <w:rFonts w:cs="宋体"/>
                <w:color w:val="000000"/>
                <w:szCs w:val="21"/>
              </w:rPr>
            </w:pPr>
            <w:r>
              <w:rPr>
                <w:rFonts w:hint="eastAsia" w:cs="宋体"/>
                <w:color w:val="000000"/>
                <w:szCs w:val="21"/>
              </w:rPr>
              <w:t>共13项，每项2分</w:t>
            </w:r>
          </w:p>
        </w:tc>
        <w:tc>
          <w:tcPr>
            <w:tcW w:w="809" w:type="dxa"/>
            <w:vAlign w:val="center"/>
          </w:tcPr>
          <w:p>
            <w:pPr>
              <w:adjustRightInd w:val="0"/>
              <w:snapToGrid w:val="0"/>
              <w:jc w:val="center"/>
              <w:rPr>
                <w:rFonts w:cs="宋体"/>
                <w:color w:val="000000"/>
                <w:szCs w:val="21"/>
              </w:rPr>
            </w:pPr>
            <w:r>
              <w:rPr>
                <w:rFonts w:hint="eastAsia" w:cs="宋体"/>
                <w:color w:val="000000"/>
                <w:szCs w:val="21"/>
              </w:rPr>
              <w:t>26分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7"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vAlign w:val="center"/>
          </w:tcPr>
          <w:p>
            <w:pPr>
              <w:adjustRightInd w:val="0"/>
              <w:snapToGrid w:val="0"/>
              <w:ind w:firstLine="422" w:firstLineChars="200"/>
              <w:rPr>
                <w:rFonts w:cs="宋体"/>
                <w:color w:val="000000"/>
                <w:kern w:val="0"/>
                <w:szCs w:val="21"/>
              </w:rPr>
            </w:pPr>
            <w:r>
              <w:rPr>
                <w:rFonts w:hint="eastAsia" w:cs="宋体"/>
                <w:b/>
                <w:color w:val="000000"/>
                <w:szCs w:val="21"/>
              </w:rPr>
              <w:t>37.安全稳定。</w:t>
            </w:r>
            <w:r>
              <w:rPr>
                <w:rFonts w:hint="eastAsia" w:cs="宋体"/>
                <w:color w:val="000000"/>
                <w:kern w:val="0"/>
                <w:szCs w:val="21"/>
              </w:rPr>
              <w:t>安全风险防控体系、工作机构和制度健全，包抓责任落实到位；突发事件应急预案齐全，针对性和操作性强；配备保障学生安全与健康的基本设施和设备，落实人防、物防和技防等相关要求，实现校园安全四个百分百（中小学封闭化管理达到100%，一键式紧急报警、视频监控系统与属地公安机关联网率达到100%，城市中小学专职保安员配备率达到100%，城市“护学岗”设置率达到100%）；完善学校值班制度，专职保卫人员持证上岗，严格门禁制度，学校食品安全、传染病应急防控和安全事故信息报送机制健全；完善对学校教育教学设施、重点部位定期检查、矛盾纠纷排查制度，有检查和整改情况记录，无安全隐患；食堂物资定点采购和索证、登记制度完善，饭菜留样和记录规范，实施“明厨亮灶”，严格执行校园卫生保健、饮用水等相关安全规定；寄宿制学校要加强学生公寓管理，配备专业管理人员，规范学生床上用品和校服采买，按规定设立校园小卖部（超市）并严格管理；开展安全教育、安全知识宣传与培训，每学年开设安全教育课不少于12课时，每月举行1次安全主题演练，开展防疫、禁毒等专项宣传教育活动，常态化疫情防控措施落实到位，疫情防控应急处置方案和问责制度健全；校园欺凌治理机制完善，配合教育、政法、公安等有关部门开展“护校安园”行动；学校网络安全管理制度健全，确定专门机构和人员负责网络和信息安全日常工作。</w:t>
            </w:r>
          </w:p>
        </w:tc>
        <w:tc>
          <w:tcPr>
            <w:tcW w:w="1123" w:type="dxa"/>
            <w:vAlign w:val="center"/>
          </w:tcPr>
          <w:p>
            <w:pPr>
              <w:adjustRightInd w:val="0"/>
              <w:snapToGrid w:val="0"/>
              <w:rPr>
                <w:rFonts w:cs="宋体"/>
                <w:color w:val="000000"/>
                <w:szCs w:val="21"/>
              </w:rPr>
            </w:pPr>
            <w:r>
              <w:rPr>
                <w:rFonts w:hint="eastAsia" w:cs="宋体"/>
                <w:color w:val="000000"/>
                <w:szCs w:val="21"/>
              </w:rPr>
              <w:t>共10项，每项2分</w:t>
            </w:r>
          </w:p>
        </w:tc>
        <w:tc>
          <w:tcPr>
            <w:tcW w:w="809" w:type="dxa"/>
            <w:vAlign w:val="center"/>
          </w:tcPr>
          <w:p>
            <w:pPr>
              <w:adjustRightInd w:val="0"/>
              <w:snapToGrid w:val="0"/>
              <w:jc w:val="center"/>
              <w:rPr>
                <w:rFonts w:cs="宋体"/>
                <w:color w:val="000000"/>
                <w:szCs w:val="21"/>
              </w:rPr>
            </w:pPr>
            <w:r>
              <w:rPr>
                <w:rFonts w:hint="eastAsia" w:cs="宋体"/>
                <w:color w:val="000000"/>
                <w:szCs w:val="21"/>
              </w:rPr>
              <w:t>20分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1155" w:type="dxa"/>
            <w:vMerge w:val="restart"/>
            <w:vAlign w:val="center"/>
          </w:tcPr>
          <w:p>
            <w:pPr>
              <w:adjustRightInd w:val="0"/>
              <w:snapToGrid w:val="0"/>
              <w:rPr>
                <w:rFonts w:cs="宋体"/>
                <w:color w:val="000000"/>
                <w:szCs w:val="21"/>
              </w:rPr>
            </w:pPr>
            <w:r>
              <w:rPr>
                <w:rFonts w:hint="eastAsia" w:cs="宋体"/>
                <w:color w:val="000000"/>
                <w:szCs w:val="21"/>
              </w:rPr>
              <w:t>七、彰显发展特色</w:t>
            </w:r>
          </w:p>
          <w:p>
            <w:pPr>
              <w:adjustRightInd w:val="0"/>
              <w:snapToGrid w:val="0"/>
              <w:jc w:val="center"/>
              <w:rPr>
                <w:rFonts w:cs="宋体"/>
                <w:color w:val="000000"/>
                <w:szCs w:val="21"/>
              </w:rPr>
            </w:pPr>
            <w:r>
              <w:rPr>
                <w:rFonts w:hint="eastAsia" w:cs="宋体"/>
                <w:color w:val="000000"/>
                <w:szCs w:val="21"/>
              </w:rPr>
              <w:t>（60分）</w:t>
            </w:r>
          </w:p>
        </w:tc>
        <w:tc>
          <w:tcPr>
            <w:tcW w:w="11429" w:type="dxa"/>
            <w:tcMar>
              <w:top w:w="57" w:type="dxa"/>
              <w:bottom w:w="57" w:type="dxa"/>
            </w:tcMar>
            <w:vAlign w:val="center"/>
          </w:tcPr>
          <w:p>
            <w:pPr>
              <w:adjustRightInd w:val="0"/>
              <w:snapToGrid w:val="0"/>
              <w:rPr>
                <w:rFonts w:cs="宋体"/>
                <w:b/>
                <w:color w:val="000000"/>
                <w:szCs w:val="21"/>
              </w:rPr>
            </w:pPr>
            <w:r>
              <w:rPr>
                <w:rFonts w:hint="eastAsia" w:cs="宋体"/>
                <w:b/>
                <w:color w:val="000000"/>
                <w:szCs w:val="21"/>
              </w:rPr>
              <w:t xml:space="preserve">   </w:t>
            </w:r>
            <w:r>
              <w:rPr>
                <w:rFonts w:hint="eastAsia" w:cs="宋体"/>
                <w:b/>
                <w:bCs/>
                <w:color w:val="000000"/>
                <w:kern w:val="0"/>
                <w:szCs w:val="21"/>
              </w:rPr>
              <w:t xml:space="preserve"> 38.校园文化。</w:t>
            </w:r>
            <w:r>
              <w:rPr>
                <w:rFonts w:hint="eastAsia" w:cs="宋体"/>
                <w:color w:val="000000"/>
                <w:kern w:val="0"/>
                <w:szCs w:val="21"/>
              </w:rPr>
              <w:t>校园文化贯穿学校教育教学全过程，主题鲜明，内涵丰富，品位高雅，体现中华文化精髓、先进的时代精神、开阔的国际视野、独特的学校风格；加强校风、教风、学风建设，发挥校园文化的导向、约束、激励和凝聚作用；校园人文环境和自然环境的整体规划与建设合理，物质文化建设因地制宜，符合学校实际；优化校园空间环境，创建文明校园、平安校园、绿色校园、卫生校园，打造温馨校园、书香校园，营造和谐育人环境和氛围，陶冶学生情操、净化学生心灵；大力宣传党的教育方针和社会主义核心价值观，大力宣传师德高尚、关爱学生、业务精湛的教职工典型，大力宣传乐于助人、热爱劳动和在体育、音乐、美术、科技发明等方面有特长的学生；校园内讲普通话，写规范字；师生对校园文化的认同度、知晓度达到85%以上。</w:t>
            </w:r>
          </w:p>
        </w:tc>
        <w:tc>
          <w:tcPr>
            <w:tcW w:w="1123" w:type="dxa"/>
            <w:vAlign w:val="center"/>
          </w:tcPr>
          <w:p>
            <w:pPr>
              <w:adjustRightInd w:val="0"/>
              <w:snapToGrid w:val="0"/>
              <w:rPr>
                <w:rFonts w:cs="宋体"/>
                <w:color w:val="000000"/>
                <w:szCs w:val="21"/>
              </w:rPr>
            </w:pPr>
            <w:r>
              <w:rPr>
                <w:rFonts w:hint="eastAsia" w:cs="宋体"/>
                <w:color w:val="000000"/>
                <w:szCs w:val="21"/>
              </w:rPr>
              <w:t>共7项，每项2分</w:t>
            </w:r>
          </w:p>
        </w:tc>
        <w:tc>
          <w:tcPr>
            <w:tcW w:w="809" w:type="dxa"/>
            <w:vAlign w:val="center"/>
          </w:tcPr>
          <w:p>
            <w:pPr>
              <w:adjustRightInd w:val="0"/>
              <w:snapToGrid w:val="0"/>
              <w:jc w:val="center"/>
              <w:rPr>
                <w:rFonts w:cs="宋体"/>
                <w:color w:val="000000"/>
                <w:szCs w:val="21"/>
              </w:rPr>
            </w:pPr>
            <w:r>
              <w:rPr>
                <w:rFonts w:hint="eastAsia" w:cs="宋体"/>
                <w:color w:val="000000"/>
                <w:szCs w:val="21"/>
              </w:rPr>
              <w:t>14分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57" w:type="dxa"/>
              <w:bottom w:w="57" w:type="dxa"/>
            </w:tcMar>
            <w:vAlign w:val="center"/>
          </w:tcPr>
          <w:p>
            <w:pPr>
              <w:adjustRightInd w:val="0"/>
              <w:snapToGrid w:val="0"/>
              <w:ind w:firstLine="422" w:firstLineChars="200"/>
              <w:rPr>
                <w:rFonts w:cs="宋体"/>
                <w:color w:val="000000"/>
                <w:spacing w:val="-4"/>
                <w:szCs w:val="21"/>
              </w:rPr>
            </w:pPr>
            <w:r>
              <w:rPr>
                <w:rFonts w:hint="eastAsia" w:cs="宋体"/>
                <w:b/>
                <w:bCs/>
                <w:color w:val="000000"/>
                <w:kern w:val="0"/>
                <w:szCs w:val="21"/>
              </w:rPr>
              <w:t>39.交流合作。</w:t>
            </w:r>
            <w:r>
              <w:rPr>
                <w:rFonts w:hint="eastAsia" w:cs="宋体"/>
                <w:color w:val="000000"/>
                <w:kern w:val="0"/>
                <w:szCs w:val="21"/>
              </w:rPr>
              <w:t>利用多种社会和地方特色资源，丰富学生课外活动和社会实践活动；充分利用高校和科技院所资源，为师生发展提供课程支持，优化育人模式；校际合作类型形式多样，成效显著，每学期至少有1次校外专家的学术报告；开展人类命运共同体主题教育，培养师生文化意识和交流能力；与国内外学校建立形式丰富多样的交流活动；开展师生与国外（或区域外）高中教育教学方面的交流，邀请国内外专家来学校指导、讲课。</w:t>
            </w:r>
          </w:p>
        </w:tc>
        <w:tc>
          <w:tcPr>
            <w:tcW w:w="1123" w:type="dxa"/>
            <w:vAlign w:val="center"/>
          </w:tcPr>
          <w:p>
            <w:pPr>
              <w:adjustRightInd w:val="0"/>
              <w:snapToGrid w:val="0"/>
              <w:rPr>
                <w:rFonts w:cs="宋体"/>
                <w:color w:val="000000"/>
                <w:szCs w:val="21"/>
              </w:rPr>
            </w:pPr>
            <w:r>
              <w:rPr>
                <w:rFonts w:hint="eastAsia" w:cs="宋体"/>
                <w:color w:val="000000"/>
                <w:szCs w:val="21"/>
              </w:rPr>
              <w:t>共6项，每项3分</w:t>
            </w:r>
          </w:p>
        </w:tc>
        <w:tc>
          <w:tcPr>
            <w:tcW w:w="809" w:type="dxa"/>
            <w:vAlign w:val="center"/>
          </w:tcPr>
          <w:p>
            <w:pPr>
              <w:adjustRightInd w:val="0"/>
              <w:snapToGrid w:val="0"/>
              <w:jc w:val="center"/>
              <w:rPr>
                <w:rFonts w:cs="宋体"/>
                <w:color w:val="000000"/>
                <w:szCs w:val="21"/>
              </w:rPr>
            </w:pPr>
            <w:r>
              <w:rPr>
                <w:rFonts w:hint="eastAsia" w:cs="宋体"/>
                <w:color w:val="000000"/>
                <w:szCs w:val="21"/>
              </w:rPr>
              <w:t>18分</w:t>
            </w:r>
          </w:p>
        </w:tc>
        <w:tc>
          <w:tcPr>
            <w:tcW w:w="653" w:type="dxa"/>
            <w:vAlign w:val="center"/>
          </w:tcPr>
          <w:p>
            <w:pPr>
              <w:adjustRightInd w:val="0"/>
              <w:snapToGrid w:val="0"/>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trPr>
        <w:tc>
          <w:tcPr>
            <w:tcW w:w="1155" w:type="dxa"/>
            <w:vMerge w:val="continue"/>
            <w:vAlign w:val="center"/>
          </w:tcPr>
          <w:p>
            <w:pPr>
              <w:adjustRightInd w:val="0"/>
              <w:snapToGrid w:val="0"/>
              <w:ind w:firstLine="420" w:firstLineChars="200"/>
              <w:rPr>
                <w:rFonts w:cs="宋体"/>
                <w:color w:val="000000"/>
                <w:szCs w:val="21"/>
              </w:rPr>
            </w:pPr>
          </w:p>
        </w:tc>
        <w:tc>
          <w:tcPr>
            <w:tcW w:w="11429" w:type="dxa"/>
            <w:tcMar>
              <w:top w:w="227" w:type="dxa"/>
              <w:bottom w:w="227" w:type="dxa"/>
            </w:tcMar>
            <w:vAlign w:val="center"/>
          </w:tcPr>
          <w:p>
            <w:pPr>
              <w:adjustRightInd w:val="0"/>
              <w:snapToGrid w:val="0"/>
              <w:ind w:firstLine="422" w:firstLineChars="200"/>
              <w:rPr>
                <w:rFonts w:cs="宋体"/>
                <w:color w:val="000000"/>
                <w:szCs w:val="21"/>
              </w:rPr>
            </w:pPr>
            <w:r>
              <w:rPr>
                <w:rFonts w:hint="eastAsia" w:cs="宋体"/>
                <w:b/>
                <w:bCs/>
                <w:color w:val="000000"/>
                <w:kern w:val="0"/>
                <w:szCs w:val="21"/>
              </w:rPr>
              <w:t>40.办学特色。</w:t>
            </w:r>
            <w:r>
              <w:rPr>
                <w:rFonts w:hint="eastAsia" w:cs="宋体"/>
                <w:color w:val="000000"/>
                <w:kern w:val="0"/>
                <w:szCs w:val="21"/>
              </w:rPr>
              <w:t>课程设置和学生成长体现学校的办学特色，特色多样化建设成效显著，办学理念、管理机制、办学模式、培养模式、教学模式、队伍建设、教育科研、科技实践、德育工作、美育教学、学校体育、信息化建设、校园文化、评价体系等方面特色明显，形成科技高中、人文高中、体艺高中、综合高中等类别鲜明的办学特征；特色成果在区域内外推广；整体办学水平高，办学成果有影响力，对区域内外高中教育的辐射力强；学校、社会声誉良好，学生、家长和社会对学校总体满意度达到85%以上（对辖区部分人大代表和政协委员、社区代表、学生家长、学生等进行问卷调查）。</w:t>
            </w:r>
          </w:p>
        </w:tc>
        <w:tc>
          <w:tcPr>
            <w:tcW w:w="1123" w:type="dxa"/>
            <w:vAlign w:val="center"/>
          </w:tcPr>
          <w:p>
            <w:pPr>
              <w:adjustRightInd w:val="0"/>
              <w:snapToGrid w:val="0"/>
              <w:rPr>
                <w:rFonts w:cs="宋体"/>
                <w:color w:val="000000"/>
                <w:szCs w:val="21"/>
              </w:rPr>
            </w:pPr>
            <w:r>
              <w:rPr>
                <w:rFonts w:hint="eastAsia" w:cs="宋体"/>
                <w:color w:val="000000"/>
                <w:szCs w:val="21"/>
              </w:rPr>
              <w:t>共</w:t>
            </w:r>
            <w:r>
              <w:rPr>
                <w:rFonts w:hint="eastAsia" w:cs="宋体"/>
                <w:color w:val="000000"/>
                <w:kern w:val="0"/>
                <w:szCs w:val="21"/>
              </w:rPr>
              <w:t>4项，每项7分</w:t>
            </w:r>
          </w:p>
        </w:tc>
        <w:tc>
          <w:tcPr>
            <w:tcW w:w="809" w:type="dxa"/>
            <w:vAlign w:val="center"/>
          </w:tcPr>
          <w:p>
            <w:pPr>
              <w:adjustRightInd w:val="0"/>
              <w:snapToGrid w:val="0"/>
              <w:rPr>
                <w:rFonts w:cs="宋体"/>
                <w:color w:val="000000"/>
                <w:szCs w:val="21"/>
              </w:rPr>
            </w:pPr>
            <w:r>
              <w:rPr>
                <w:rFonts w:hint="eastAsia" w:cs="宋体"/>
                <w:color w:val="000000"/>
                <w:szCs w:val="21"/>
              </w:rPr>
              <w:t>28分</w:t>
            </w:r>
          </w:p>
        </w:tc>
        <w:tc>
          <w:tcPr>
            <w:tcW w:w="653"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Align w:val="center"/>
          </w:tcPr>
          <w:p>
            <w:pPr>
              <w:adjustRightInd w:val="0"/>
              <w:snapToGrid w:val="0"/>
              <w:jc w:val="center"/>
              <w:rPr>
                <w:rFonts w:cs="宋体"/>
                <w:color w:val="000000"/>
                <w:szCs w:val="21"/>
              </w:rPr>
            </w:pPr>
            <w:r>
              <w:rPr>
                <w:rFonts w:hint="eastAsia" w:cs="宋体"/>
                <w:color w:val="000000"/>
                <w:szCs w:val="21"/>
              </w:rPr>
              <w:t>地方性评价指标（100分）</w:t>
            </w:r>
          </w:p>
        </w:tc>
        <w:tc>
          <w:tcPr>
            <w:tcW w:w="11429" w:type="dxa"/>
            <w:tcMar>
              <w:top w:w="57" w:type="dxa"/>
              <w:bottom w:w="57" w:type="dxa"/>
            </w:tcMar>
            <w:vAlign w:val="center"/>
          </w:tcPr>
          <w:p>
            <w:pPr>
              <w:adjustRightInd w:val="0"/>
              <w:snapToGrid w:val="0"/>
              <w:ind w:firstLine="420" w:firstLineChars="200"/>
              <w:rPr>
                <w:rFonts w:cs="宋体"/>
                <w:color w:val="000000"/>
                <w:szCs w:val="21"/>
              </w:rPr>
            </w:pPr>
            <w:r>
              <w:rPr>
                <w:rFonts w:hint="eastAsia" w:cs="宋体"/>
                <w:color w:val="000000"/>
                <w:szCs w:val="21"/>
              </w:rPr>
              <w:t>具体指标由市、县（区）根据评价权限自定。</w:t>
            </w:r>
          </w:p>
        </w:tc>
        <w:tc>
          <w:tcPr>
            <w:tcW w:w="1123" w:type="dxa"/>
            <w:vAlign w:val="center"/>
          </w:tcPr>
          <w:p>
            <w:pPr>
              <w:adjustRightInd w:val="0"/>
              <w:snapToGrid w:val="0"/>
              <w:rPr>
                <w:rFonts w:cs="宋体"/>
                <w:color w:val="000000"/>
                <w:szCs w:val="21"/>
              </w:rPr>
            </w:pPr>
          </w:p>
        </w:tc>
        <w:tc>
          <w:tcPr>
            <w:tcW w:w="809" w:type="dxa"/>
            <w:vAlign w:val="center"/>
          </w:tcPr>
          <w:p>
            <w:pPr>
              <w:adjustRightInd w:val="0"/>
              <w:snapToGrid w:val="0"/>
              <w:jc w:val="center"/>
              <w:rPr>
                <w:rFonts w:cs="宋体"/>
                <w:color w:val="000000"/>
                <w:szCs w:val="21"/>
              </w:rPr>
            </w:pPr>
          </w:p>
        </w:tc>
        <w:tc>
          <w:tcPr>
            <w:tcW w:w="653"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55" w:type="dxa"/>
            <w:vAlign w:val="center"/>
          </w:tcPr>
          <w:p>
            <w:pPr>
              <w:adjustRightInd w:val="0"/>
              <w:snapToGrid w:val="0"/>
              <w:jc w:val="center"/>
              <w:rPr>
                <w:rFonts w:cs="宋体"/>
                <w:color w:val="000000"/>
                <w:szCs w:val="21"/>
              </w:rPr>
            </w:pPr>
            <w:r>
              <w:rPr>
                <w:rFonts w:hint="eastAsia" w:cs="宋体"/>
                <w:color w:val="000000"/>
                <w:szCs w:val="21"/>
              </w:rPr>
              <w:t>负面</w:t>
            </w:r>
          </w:p>
          <w:p>
            <w:pPr>
              <w:adjustRightInd w:val="0"/>
              <w:snapToGrid w:val="0"/>
              <w:jc w:val="center"/>
              <w:rPr>
                <w:rFonts w:cs="宋体"/>
                <w:color w:val="000000"/>
                <w:szCs w:val="21"/>
              </w:rPr>
            </w:pPr>
            <w:r>
              <w:rPr>
                <w:rFonts w:hint="eastAsia" w:cs="宋体"/>
                <w:color w:val="000000"/>
                <w:szCs w:val="21"/>
              </w:rPr>
              <w:t>清单</w:t>
            </w:r>
          </w:p>
        </w:tc>
        <w:tc>
          <w:tcPr>
            <w:tcW w:w="11429" w:type="dxa"/>
            <w:tcMar>
              <w:top w:w="57" w:type="dxa"/>
              <w:bottom w:w="57" w:type="dxa"/>
            </w:tcMar>
            <w:vAlign w:val="center"/>
          </w:tcPr>
          <w:p>
            <w:pPr>
              <w:adjustRightInd w:val="0"/>
              <w:snapToGrid w:val="0"/>
              <w:ind w:firstLine="420" w:firstLineChars="200"/>
              <w:rPr>
                <w:rFonts w:cs="宋体"/>
                <w:color w:val="000000"/>
                <w:szCs w:val="21"/>
              </w:rPr>
            </w:pPr>
            <w:r>
              <w:rPr>
                <w:rFonts w:hint="eastAsia" w:cs="宋体"/>
                <w:color w:val="000000"/>
                <w:szCs w:val="21"/>
              </w:rPr>
              <w:t>1.近三年，出现乱补课、乱收费等违规行为，造成不良影响的；</w:t>
            </w:r>
          </w:p>
          <w:p>
            <w:pPr>
              <w:adjustRightInd w:val="0"/>
              <w:snapToGrid w:val="0"/>
              <w:rPr>
                <w:rFonts w:cs="宋体"/>
                <w:color w:val="000000"/>
                <w:szCs w:val="21"/>
              </w:rPr>
            </w:pPr>
            <w:r>
              <w:rPr>
                <w:rFonts w:hint="eastAsia" w:cs="宋体"/>
                <w:color w:val="000000"/>
                <w:szCs w:val="21"/>
              </w:rPr>
              <w:t xml:space="preserve">    2.近三年，发生重大政治事故或重大安全事故的；</w:t>
            </w:r>
          </w:p>
          <w:p>
            <w:pPr>
              <w:adjustRightInd w:val="0"/>
              <w:snapToGrid w:val="0"/>
              <w:ind w:firstLine="420" w:firstLineChars="200"/>
              <w:rPr>
                <w:rFonts w:cs="宋体"/>
                <w:color w:val="000000"/>
                <w:szCs w:val="21"/>
              </w:rPr>
            </w:pPr>
            <w:r>
              <w:rPr>
                <w:rFonts w:hint="eastAsia" w:cs="宋体"/>
                <w:color w:val="000000"/>
                <w:szCs w:val="21"/>
              </w:rPr>
              <w:t>3.近三年，发生严重违反师德规范要求，造成恶劣社会影响的；</w:t>
            </w:r>
          </w:p>
          <w:p>
            <w:pPr>
              <w:adjustRightInd w:val="0"/>
              <w:snapToGrid w:val="0"/>
              <w:ind w:firstLine="420" w:firstLineChars="200"/>
              <w:rPr>
                <w:rFonts w:cs="宋体"/>
                <w:color w:val="000000"/>
                <w:szCs w:val="21"/>
              </w:rPr>
            </w:pPr>
            <w:r>
              <w:rPr>
                <w:rFonts w:hint="eastAsia" w:cs="宋体"/>
                <w:color w:val="000000"/>
                <w:szCs w:val="21"/>
              </w:rPr>
              <w:t>4.近三年，出现严重校园欺凌事件，造成不良社会影响的；</w:t>
            </w:r>
          </w:p>
          <w:p>
            <w:pPr>
              <w:adjustRightInd w:val="0"/>
              <w:snapToGrid w:val="0"/>
              <w:ind w:firstLine="420" w:firstLineChars="200"/>
              <w:rPr>
                <w:rFonts w:cs="宋体"/>
                <w:color w:val="000000"/>
                <w:szCs w:val="21"/>
              </w:rPr>
            </w:pPr>
            <w:r>
              <w:rPr>
                <w:rFonts w:hint="eastAsia" w:cs="宋体"/>
                <w:color w:val="000000"/>
                <w:szCs w:val="21"/>
              </w:rPr>
              <w:t>5.近三年，教师中出现违纪事件或师生出现违法犯罪事件，造成恶劣社会影响的。</w:t>
            </w:r>
          </w:p>
          <w:p>
            <w:pPr>
              <w:adjustRightInd w:val="0"/>
              <w:snapToGrid w:val="0"/>
              <w:ind w:firstLine="420" w:firstLineChars="200"/>
              <w:rPr>
                <w:rFonts w:cs="宋体"/>
                <w:color w:val="000000"/>
                <w:szCs w:val="21"/>
              </w:rPr>
            </w:pPr>
            <w:r>
              <w:rPr>
                <w:rFonts w:hint="eastAsia" w:cs="宋体"/>
                <w:color w:val="000000"/>
                <w:szCs w:val="21"/>
              </w:rPr>
              <w:t>（</w:t>
            </w:r>
            <w:r>
              <w:rPr>
                <w:color w:val="000000"/>
                <w:szCs w:val="21"/>
              </w:rPr>
              <w:t>出现以上任何一项情况，扣除相应条款分值，并视情况降低评</w:t>
            </w:r>
            <w:r>
              <w:rPr>
                <w:rFonts w:hint="eastAsia"/>
                <w:color w:val="000000"/>
                <w:szCs w:val="21"/>
              </w:rPr>
              <w:t>价</w:t>
            </w:r>
            <w:r>
              <w:rPr>
                <w:color w:val="000000"/>
                <w:szCs w:val="21"/>
              </w:rPr>
              <w:t>等级</w:t>
            </w:r>
            <w:r>
              <w:rPr>
                <w:rFonts w:hint="eastAsia" w:cs="宋体"/>
                <w:color w:val="000000"/>
                <w:szCs w:val="21"/>
              </w:rPr>
              <w:t>）</w:t>
            </w:r>
          </w:p>
        </w:tc>
        <w:tc>
          <w:tcPr>
            <w:tcW w:w="1123" w:type="dxa"/>
            <w:vAlign w:val="center"/>
          </w:tcPr>
          <w:p>
            <w:pPr>
              <w:adjustRightInd w:val="0"/>
              <w:snapToGrid w:val="0"/>
              <w:rPr>
                <w:rFonts w:cs="宋体"/>
                <w:color w:val="000000"/>
                <w:szCs w:val="21"/>
              </w:rPr>
            </w:pPr>
          </w:p>
        </w:tc>
        <w:tc>
          <w:tcPr>
            <w:tcW w:w="809" w:type="dxa"/>
            <w:vAlign w:val="center"/>
          </w:tcPr>
          <w:p>
            <w:pPr>
              <w:adjustRightInd w:val="0"/>
              <w:snapToGrid w:val="0"/>
              <w:jc w:val="center"/>
              <w:rPr>
                <w:rFonts w:cs="宋体"/>
                <w:color w:val="000000"/>
                <w:szCs w:val="21"/>
              </w:rPr>
            </w:pPr>
          </w:p>
        </w:tc>
        <w:tc>
          <w:tcPr>
            <w:tcW w:w="653" w:type="dxa"/>
            <w:vAlign w:val="center"/>
          </w:tcPr>
          <w:p>
            <w:pPr>
              <w:adjustRightInd w:val="0"/>
              <w:snapToGrid w:val="0"/>
              <w:jc w:val="center"/>
              <w:rPr>
                <w:rFonts w:cs="宋体"/>
                <w:color w:val="000000"/>
                <w:szCs w:val="21"/>
              </w:rPr>
            </w:pPr>
          </w:p>
        </w:tc>
      </w:tr>
    </w:tbl>
    <w:p>
      <w:pPr>
        <w:rPr>
          <w:rFonts w:hint="eastAsia"/>
          <w:color w:val="000000"/>
          <w:szCs w:val="21"/>
        </w:rPr>
      </w:pPr>
      <w:r>
        <w:rPr>
          <w:rFonts w:hint="eastAsia" w:cs="仿宋_GB2312"/>
          <w:color w:val="000000"/>
          <w:szCs w:val="21"/>
        </w:rPr>
        <w:t>说明：</w:t>
      </w:r>
      <w:r>
        <w:rPr>
          <w:color w:val="000000"/>
          <w:szCs w:val="21"/>
        </w:rPr>
        <w:t>1</w:t>
      </w:r>
      <w:r>
        <w:rPr>
          <w:rFonts w:hint="eastAsia"/>
          <w:color w:val="000000"/>
          <w:szCs w:val="21"/>
        </w:rPr>
        <w:t>．</w:t>
      </w:r>
      <w:r>
        <w:rPr>
          <w:color w:val="000000"/>
          <w:szCs w:val="21"/>
        </w:rPr>
        <w:t>满分1000分（其中基础</w:t>
      </w:r>
      <w:r>
        <w:rPr>
          <w:rFonts w:hint="eastAsia"/>
          <w:color w:val="000000"/>
          <w:szCs w:val="21"/>
        </w:rPr>
        <w:t>性</w:t>
      </w:r>
      <w:r>
        <w:rPr>
          <w:color w:val="000000"/>
          <w:szCs w:val="21"/>
        </w:rPr>
        <w:t>指标900分，地</w:t>
      </w:r>
      <w:r>
        <w:rPr>
          <w:rFonts w:hint="eastAsia"/>
          <w:color w:val="000000"/>
          <w:szCs w:val="21"/>
        </w:rPr>
        <w:t>方性指标</w:t>
      </w:r>
      <w:r>
        <w:rPr>
          <w:color w:val="000000"/>
          <w:szCs w:val="21"/>
        </w:rPr>
        <w:t>100分）。900分及以上评</w:t>
      </w:r>
      <w:r>
        <w:rPr>
          <w:rFonts w:hint="eastAsia"/>
          <w:color w:val="000000"/>
          <w:szCs w:val="21"/>
        </w:rPr>
        <w:t>价</w:t>
      </w:r>
      <w:r>
        <w:rPr>
          <w:color w:val="000000"/>
          <w:szCs w:val="21"/>
        </w:rPr>
        <w:t>结果为A级，800—899分评</w:t>
      </w:r>
      <w:r>
        <w:rPr>
          <w:rFonts w:hint="eastAsia"/>
          <w:color w:val="000000"/>
          <w:szCs w:val="21"/>
        </w:rPr>
        <w:t>价</w:t>
      </w:r>
      <w:r>
        <w:rPr>
          <w:color w:val="000000"/>
          <w:szCs w:val="21"/>
        </w:rPr>
        <w:t>结果为B级，600—799分评</w:t>
      </w:r>
      <w:r>
        <w:rPr>
          <w:rFonts w:hint="eastAsia"/>
          <w:color w:val="000000"/>
          <w:szCs w:val="21"/>
        </w:rPr>
        <w:t>价</w:t>
      </w:r>
      <w:r>
        <w:rPr>
          <w:color w:val="000000"/>
          <w:szCs w:val="21"/>
        </w:rPr>
        <w:t>结果为C级，</w:t>
      </w:r>
    </w:p>
    <w:p>
      <w:pPr>
        <w:ind w:firstLine="945" w:firstLineChars="450"/>
        <w:rPr>
          <w:rFonts w:hint="eastAsia" w:cs="仿宋_GB2312"/>
          <w:color w:val="000000"/>
          <w:szCs w:val="21"/>
        </w:rPr>
      </w:pPr>
      <w:r>
        <w:rPr>
          <w:color w:val="000000"/>
          <w:szCs w:val="21"/>
        </w:rPr>
        <w:t>600分以下评</w:t>
      </w:r>
      <w:r>
        <w:rPr>
          <w:rFonts w:hint="eastAsia"/>
          <w:color w:val="000000"/>
          <w:szCs w:val="21"/>
        </w:rPr>
        <w:t>价</w:t>
      </w:r>
      <w:r>
        <w:rPr>
          <w:color w:val="000000"/>
          <w:szCs w:val="21"/>
        </w:rPr>
        <w:t>结果为D级。赋分或扣分以1分为单位起评，得分不出现负数。</w:t>
      </w:r>
    </w:p>
    <w:p>
      <w:pPr>
        <w:ind w:left="840" w:leftChars="300" w:hanging="210" w:hangingChars="100"/>
        <w:rPr>
          <w:rFonts w:hint="eastAsia"/>
          <w:color w:val="000000"/>
          <w:szCs w:val="21"/>
        </w:rPr>
      </w:pPr>
      <w:r>
        <w:rPr>
          <w:color w:val="000000"/>
          <w:szCs w:val="21"/>
        </w:rPr>
        <w:t>2</w:t>
      </w:r>
      <w:r>
        <w:rPr>
          <w:rFonts w:hint="eastAsia"/>
          <w:color w:val="000000"/>
          <w:szCs w:val="21"/>
        </w:rPr>
        <w:t xml:space="preserve">．评价方法如下：①随机走访、听课；②召开教职工、学生、家长及社会各界人士的座谈会；③查看相关档案资料；④实地查看办学条件、周边环境；⑤实施 </w:t>
      </w:r>
    </w:p>
    <w:p>
      <w:pPr>
        <w:ind w:firstLine="945" w:firstLineChars="450"/>
        <w:rPr>
          <w:rFonts w:hint="eastAsia" w:cs="仿宋_GB2312"/>
          <w:color w:val="000000"/>
          <w:szCs w:val="21"/>
        </w:rPr>
      </w:pPr>
      <w:r>
        <w:rPr>
          <w:rFonts w:hint="eastAsia"/>
          <w:color w:val="000000"/>
          <w:szCs w:val="21"/>
        </w:rPr>
        <w:t xml:space="preserve">人大代表、政协委员、教职工、学生、家长等调查问卷；⑥进行学科测试等。 </w:t>
      </w:r>
    </w:p>
    <w:p>
      <w:pPr>
        <w:ind w:firstLine="630" w:firstLineChars="300"/>
        <w:rPr>
          <w:rFonts w:hint="eastAsia"/>
          <w:color w:val="000000"/>
          <w:szCs w:val="21"/>
        </w:rPr>
      </w:pPr>
      <w:r>
        <w:rPr>
          <w:color w:val="000000"/>
          <w:szCs w:val="21"/>
        </w:rPr>
        <w:t>3</w:t>
      </w:r>
      <w:r>
        <w:rPr>
          <w:rFonts w:hint="eastAsia"/>
          <w:color w:val="000000"/>
          <w:szCs w:val="21"/>
        </w:rPr>
        <w:t>．</w:t>
      </w:r>
      <w:r>
        <w:rPr>
          <w:color w:val="000000"/>
          <w:szCs w:val="21"/>
        </w:rPr>
        <w:t>评</w:t>
      </w:r>
      <w:r>
        <w:rPr>
          <w:rFonts w:hint="eastAsia"/>
          <w:color w:val="000000"/>
          <w:szCs w:val="21"/>
        </w:rPr>
        <w:t>价</w:t>
      </w:r>
      <w:r>
        <w:rPr>
          <w:color w:val="000000"/>
          <w:szCs w:val="21"/>
        </w:rPr>
        <w:t>工作中涉及政府及办学单位职责范围的问题，学校应及时书面报告，提出整改建议和时限。若问题在评</w:t>
      </w:r>
      <w:r>
        <w:rPr>
          <w:rFonts w:hint="eastAsia"/>
          <w:color w:val="000000"/>
          <w:szCs w:val="21"/>
        </w:rPr>
        <w:t>价</w:t>
      </w:r>
      <w:r>
        <w:rPr>
          <w:color w:val="000000"/>
          <w:szCs w:val="21"/>
        </w:rPr>
        <w:t>时未得到解决，督导机构应向当地政府或办学</w:t>
      </w:r>
    </w:p>
    <w:p>
      <w:pPr>
        <w:ind w:firstLine="945" w:firstLineChars="450"/>
        <w:rPr>
          <w:rFonts w:cs="仿宋_GB2312"/>
          <w:color w:val="000000"/>
          <w:szCs w:val="21"/>
        </w:rPr>
      </w:pPr>
      <w:r>
        <w:rPr>
          <w:color w:val="000000"/>
          <w:szCs w:val="21"/>
        </w:rPr>
        <w:t>单位发出督导意见书，限期整改。相关评</w:t>
      </w:r>
      <w:r>
        <w:rPr>
          <w:rFonts w:hint="eastAsia"/>
          <w:color w:val="000000"/>
          <w:szCs w:val="21"/>
        </w:rPr>
        <w:t>价</w:t>
      </w:r>
      <w:r>
        <w:rPr>
          <w:color w:val="000000"/>
          <w:szCs w:val="21"/>
        </w:rPr>
        <w:t>项目赋分根据评</w:t>
      </w:r>
      <w:r>
        <w:rPr>
          <w:rFonts w:hint="eastAsia"/>
          <w:color w:val="000000"/>
          <w:szCs w:val="21"/>
        </w:rPr>
        <w:t>价</w:t>
      </w:r>
      <w:r>
        <w:rPr>
          <w:color w:val="000000"/>
          <w:szCs w:val="21"/>
        </w:rPr>
        <w:t>时的现状确定。</w:t>
      </w:r>
    </w:p>
    <w:p>
      <w:pPr>
        <w:adjustRightInd w:val="0"/>
        <w:snapToGrid w:val="0"/>
        <w:ind w:firstLine="630" w:firstLineChars="300"/>
        <w:rPr>
          <w:rFonts w:hint="eastAsia"/>
          <w:color w:val="000000"/>
          <w:szCs w:val="21"/>
        </w:rPr>
      </w:pPr>
      <w:r>
        <w:rPr>
          <w:color w:val="000000"/>
          <w:szCs w:val="21"/>
        </w:rPr>
        <w:t>4</w:t>
      </w:r>
      <w:r>
        <w:rPr>
          <w:rFonts w:hint="eastAsia"/>
          <w:color w:val="000000"/>
          <w:szCs w:val="21"/>
        </w:rPr>
        <w:t>．</w:t>
      </w:r>
      <w:r>
        <w:rPr>
          <w:color w:val="000000"/>
          <w:szCs w:val="21"/>
        </w:rPr>
        <w:t>对完全中学、十二年一贯制学校的评</w:t>
      </w:r>
      <w:r>
        <w:rPr>
          <w:rFonts w:hint="eastAsia"/>
          <w:color w:val="000000"/>
          <w:szCs w:val="21"/>
        </w:rPr>
        <w:t>价</w:t>
      </w:r>
      <w:r>
        <w:rPr>
          <w:color w:val="000000"/>
          <w:szCs w:val="21"/>
        </w:rPr>
        <w:t>，资源共享部分按照高中指标评</w:t>
      </w:r>
      <w:r>
        <w:rPr>
          <w:rFonts w:hint="eastAsia"/>
          <w:color w:val="000000"/>
          <w:szCs w:val="21"/>
        </w:rPr>
        <w:t>价</w:t>
      </w:r>
      <w:r>
        <w:rPr>
          <w:color w:val="000000"/>
          <w:szCs w:val="21"/>
        </w:rPr>
        <w:t>，其他部分分别按照</w:t>
      </w:r>
      <w:r>
        <w:rPr>
          <w:rFonts w:hint="eastAsia"/>
          <w:color w:val="000000"/>
          <w:szCs w:val="21"/>
        </w:rPr>
        <w:t>义务教育</w:t>
      </w:r>
      <w:r>
        <w:rPr>
          <w:color w:val="000000"/>
          <w:szCs w:val="21"/>
        </w:rPr>
        <w:t>、高中指标评</w:t>
      </w:r>
      <w:r>
        <w:rPr>
          <w:rFonts w:hint="eastAsia"/>
          <w:color w:val="000000"/>
          <w:szCs w:val="21"/>
        </w:rPr>
        <w:t>价</w:t>
      </w:r>
      <w:r>
        <w:rPr>
          <w:color w:val="000000"/>
          <w:szCs w:val="21"/>
        </w:rPr>
        <w:t>。</w:t>
      </w:r>
    </w:p>
    <w:p>
      <w:pPr>
        <w:adjustRightInd w:val="0"/>
        <w:snapToGrid w:val="0"/>
        <w:ind w:firstLine="630" w:firstLineChars="300"/>
        <w:rPr>
          <w:rFonts w:hint="eastAsia"/>
          <w:color w:val="000000"/>
          <w:szCs w:val="21"/>
        </w:rPr>
      </w:pPr>
      <w:r>
        <w:rPr>
          <w:color w:val="000000"/>
          <w:szCs w:val="21"/>
        </w:rPr>
        <w:t>5</w:t>
      </w:r>
      <w:r>
        <w:rPr>
          <w:rFonts w:hint="eastAsia"/>
          <w:color w:val="000000"/>
          <w:szCs w:val="21"/>
        </w:rPr>
        <w:t>．</w:t>
      </w:r>
      <w:r>
        <w:rPr>
          <w:color w:val="000000"/>
          <w:szCs w:val="21"/>
        </w:rPr>
        <w:t>本标准适用于全省地方政府举办的高中，国有企业事业单位、高校附属的高中和民办高中。</w:t>
      </w:r>
    </w:p>
    <w:p>
      <w:pPr>
        <w:adjustRightInd w:val="0"/>
        <w:snapToGrid w:val="0"/>
        <w:ind w:firstLine="630" w:firstLineChars="300"/>
        <w:rPr>
          <w:rFonts w:hint="eastAsia"/>
          <w:color w:val="000000"/>
          <w:szCs w:val="21"/>
        </w:rPr>
      </w:pPr>
      <w:r>
        <w:rPr>
          <w:color w:val="000000"/>
          <w:szCs w:val="21"/>
        </w:rPr>
        <w:t>6</w:t>
      </w:r>
      <w:r>
        <w:rPr>
          <w:rFonts w:hint="eastAsia"/>
          <w:color w:val="000000"/>
          <w:szCs w:val="21"/>
        </w:rPr>
        <w:t>．</w:t>
      </w:r>
      <w:r>
        <w:rPr>
          <w:color w:val="000000"/>
          <w:szCs w:val="21"/>
        </w:rPr>
        <w:t>本评</w:t>
      </w:r>
      <w:r>
        <w:rPr>
          <w:rFonts w:hint="eastAsia"/>
          <w:color w:val="000000"/>
          <w:szCs w:val="21"/>
        </w:rPr>
        <w:t>价</w:t>
      </w:r>
      <w:r>
        <w:rPr>
          <w:color w:val="000000"/>
          <w:szCs w:val="21"/>
        </w:rPr>
        <w:t>内容与指标要求根据国家、省</w:t>
      </w:r>
      <w:r>
        <w:rPr>
          <w:rFonts w:hint="eastAsia"/>
          <w:color w:val="000000"/>
          <w:szCs w:val="21"/>
        </w:rPr>
        <w:t>级</w:t>
      </w:r>
      <w:r>
        <w:rPr>
          <w:color w:val="000000"/>
          <w:szCs w:val="21"/>
        </w:rPr>
        <w:t>高中教育发展的目标任务进行动态调整。</w:t>
      </w:r>
    </w:p>
    <w:p>
      <w:pPr>
        <w:adjustRightInd w:val="0"/>
        <w:snapToGrid w:val="0"/>
        <w:ind w:firstLine="630" w:firstLineChars="300"/>
        <w:rPr>
          <w:color w:val="000000"/>
          <w:szCs w:val="21"/>
        </w:rPr>
      </w:pPr>
      <w:r>
        <w:rPr>
          <w:color w:val="000000"/>
          <w:szCs w:val="21"/>
        </w:rPr>
        <w:t>7</w:t>
      </w:r>
      <w:r>
        <w:rPr>
          <w:rFonts w:hint="eastAsia"/>
          <w:color w:val="000000"/>
          <w:szCs w:val="21"/>
        </w:rPr>
        <w:t>．</w:t>
      </w:r>
      <w:r>
        <w:rPr>
          <w:color w:val="000000"/>
          <w:szCs w:val="21"/>
        </w:rPr>
        <w:t>增值性评价</w:t>
      </w:r>
      <w:r>
        <w:rPr>
          <w:rFonts w:hint="eastAsia"/>
          <w:color w:val="000000"/>
          <w:szCs w:val="21"/>
        </w:rPr>
        <w:t>加</w:t>
      </w:r>
      <w:r>
        <w:rPr>
          <w:color w:val="000000"/>
          <w:szCs w:val="21"/>
        </w:rPr>
        <w:t>分</w:t>
      </w:r>
      <w:r>
        <w:rPr>
          <w:rFonts w:hint="eastAsia"/>
          <w:color w:val="000000"/>
          <w:szCs w:val="21"/>
        </w:rPr>
        <w:t>标准</w:t>
      </w:r>
      <w:r>
        <w:rPr>
          <w:color w:val="000000"/>
          <w:szCs w:val="21"/>
        </w:rPr>
        <w:t>：</w:t>
      </w:r>
    </w:p>
    <w:p>
      <w:pPr>
        <w:adjustRightInd w:val="0"/>
        <w:snapToGrid w:val="0"/>
        <w:ind w:left="437" w:leftChars="208" w:firstLine="525" w:firstLineChars="250"/>
        <w:rPr>
          <w:color w:val="000000"/>
          <w:szCs w:val="21"/>
        </w:rPr>
      </w:pPr>
      <w:r>
        <w:rPr>
          <w:color w:val="000000"/>
          <w:szCs w:val="21"/>
        </w:rPr>
        <w:t>①近三年，获</w:t>
      </w:r>
      <w:r>
        <w:rPr>
          <w:rFonts w:hint="eastAsia"/>
          <w:color w:val="000000"/>
          <w:szCs w:val="21"/>
        </w:rPr>
        <w:t>得</w:t>
      </w:r>
      <w:r>
        <w:rPr>
          <w:color w:val="000000"/>
          <w:szCs w:val="21"/>
        </w:rPr>
        <w:t>上级综合表彰奖励或荣誉称号：国家级一次性加10分，省部级加8分，市级加5分；</w:t>
      </w:r>
    </w:p>
    <w:p>
      <w:pPr>
        <w:adjustRightInd w:val="0"/>
        <w:snapToGrid w:val="0"/>
        <w:ind w:left="1172" w:leftChars="458" w:hanging="210" w:hangingChars="100"/>
        <w:rPr>
          <w:rFonts w:hint="eastAsia"/>
          <w:color w:val="000000"/>
          <w:szCs w:val="21"/>
        </w:rPr>
      </w:pPr>
      <w:r>
        <w:rPr>
          <w:color w:val="000000"/>
          <w:szCs w:val="21"/>
        </w:rPr>
        <w:t>②近三年，获得科研成果奖（教学成果奖、科研课题结题，教师教学能力比赛奖、班主任能力比赛奖等）：国家级一等奖加</w:t>
      </w:r>
      <w:r>
        <w:rPr>
          <w:rFonts w:hint="eastAsia"/>
          <w:color w:val="000000"/>
          <w:szCs w:val="21"/>
        </w:rPr>
        <w:t>8</w:t>
      </w:r>
      <w:r>
        <w:rPr>
          <w:color w:val="000000"/>
          <w:szCs w:val="21"/>
        </w:rPr>
        <w:t>分，二等奖加</w:t>
      </w:r>
      <w:r>
        <w:rPr>
          <w:rFonts w:hint="eastAsia"/>
          <w:color w:val="000000"/>
          <w:szCs w:val="21"/>
        </w:rPr>
        <w:t>5</w:t>
      </w:r>
      <w:r>
        <w:rPr>
          <w:color w:val="000000"/>
          <w:szCs w:val="21"/>
        </w:rPr>
        <w:t>分，三等奖加</w:t>
      </w:r>
      <w:r>
        <w:rPr>
          <w:rFonts w:hint="eastAsia"/>
          <w:color w:val="000000"/>
          <w:szCs w:val="21"/>
        </w:rPr>
        <w:t xml:space="preserve">  </w:t>
      </w:r>
    </w:p>
    <w:p>
      <w:pPr>
        <w:adjustRightInd w:val="0"/>
        <w:snapToGrid w:val="0"/>
        <w:ind w:left="1172" w:leftChars="458" w:hanging="210" w:hangingChars="100"/>
        <w:rPr>
          <w:color w:val="000000"/>
          <w:szCs w:val="21"/>
        </w:rPr>
      </w:pPr>
      <w:r>
        <w:rPr>
          <w:rFonts w:hint="eastAsia"/>
          <w:color w:val="000000"/>
          <w:szCs w:val="21"/>
        </w:rPr>
        <w:t>3</w:t>
      </w:r>
      <w:r>
        <w:rPr>
          <w:color w:val="000000"/>
          <w:szCs w:val="21"/>
        </w:rPr>
        <w:t>分；省级一等奖加</w:t>
      </w:r>
      <w:r>
        <w:rPr>
          <w:rFonts w:hint="eastAsia"/>
          <w:color w:val="000000"/>
          <w:szCs w:val="21"/>
        </w:rPr>
        <w:t>5</w:t>
      </w:r>
      <w:r>
        <w:rPr>
          <w:color w:val="000000"/>
          <w:szCs w:val="21"/>
        </w:rPr>
        <w:t>分，二等奖加</w:t>
      </w:r>
      <w:r>
        <w:rPr>
          <w:rFonts w:hint="eastAsia"/>
          <w:color w:val="000000"/>
          <w:szCs w:val="21"/>
        </w:rPr>
        <w:t>3</w:t>
      </w:r>
      <w:r>
        <w:rPr>
          <w:color w:val="000000"/>
          <w:szCs w:val="21"/>
        </w:rPr>
        <w:t>分；市级一等奖加</w:t>
      </w:r>
      <w:r>
        <w:rPr>
          <w:rFonts w:hint="eastAsia"/>
          <w:color w:val="000000"/>
          <w:szCs w:val="21"/>
        </w:rPr>
        <w:t>3</w:t>
      </w:r>
      <w:r>
        <w:rPr>
          <w:color w:val="000000"/>
          <w:szCs w:val="21"/>
        </w:rPr>
        <w:t>分；</w:t>
      </w:r>
    </w:p>
    <w:p>
      <w:pPr>
        <w:adjustRightInd w:val="0"/>
        <w:snapToGrid w:val="0"/>
        <w:ind w:left="437" w:leftChars="208" w:firstLine="525" w:firstLineChars="250"/>
        <w:rPr>
          <w:color w:val="000000"/>
          <w:szCs w:val="21"/>
        </w:rPr>
      </w:pPr>
      <w:r>
        <w:rPr>
          <w:color w:val="000000"/>
          <w:szCs w:val="21"/>
        </w:rPr>
        <w:t>③</w:t>
      </w:r>
      <w:r>
        <w:rPr>
          <w:rFonts w:hint="eastAsia"/>
          <w:color w:val="000000"/>
          <w:szCs w:val="21"/>
        </w:rPr>
        <w:t>近三年，在市级及以上大会进行经验分享或现场会（观摩）：国家级每次加10分，省级加6分，市级加4分；</w:t>
      </w:r>
    </w:p>
    <w:p>
      <w:pPr>
        <w:adjustRightInd w:val="0"/>
        <w:snapToGrid w:val="0"/>
        <w:ind w:left="437" w:leftChars="208" w:firstLine="525" w:firstLineChars="250"/>
        <w:rPr>
          <w:color w:val="000000"/>
          <w:szCs w:val="21"/>
        </w:rPr>
      </w:pPr>
      <w:r>
        <w:rPr>
          <w:color w:val="000000"/>
          <w:szCs w:val="21"/>
        </w:rPr>
        <w:t>④近三年，管理、教育教学等方面创新典型案例被教育行政部门推广，全国推广加10分，全省推广加</w:t>
      </w:r>
      <w:r>
        <w:rPr>
          <w:rFonts w:hint="eastAsia"/>
          <w:color w:val="000000"/>
          <w:szCs w:val="21"/>
        </w:rPr>
        <w:t>6</w:t>
      </w:r>
      <w:r>
        <w:rPr>
          <w:color w:val="000000"/>
          <w:szCs w:val="21"/>
        </w:rPr>
        <w:t>分，全市推广加</w:t>
      </w:r>
      <w:r>
        <w:rPr>
          <w:rFonts w:hint="eastAsia"/>
          <w:color w:val="000000"/>
          <w:szCs w:val="21"/>
        </w:rPr>
        <w:t>3</w:t>
      </w:r>
      <w:r>
        <w:rPr>
          <w:color w:val="000000"/>
          <w:szCs w:val="21"/>
        </w:rPr>
        <w:t>分；</w:t>
      </w:r>
    </w:p>
    <w:p>
      <w:pPr>
        <w:adjustRightInd w:val="0"/>
        <w:snapToGrid w:val="0"/>
        <w:ind w:left="437" w:leftChars="208" w:firstLine="525" w:firstLineChars="250"/>
        <w:rPr>
          <w:color w:val="000000"/>
          <w:szCs w:val="21"/>
        </w:rPr>
      </w:pPr>
      <w:r>
        <w:rPr>
          <w:color w:val="000000"/>
          <w:szCs w:val="21"/>
        </w:rPr>
        <w:t>⑤近三年年度考核结果均为合格以上，三年优秀</w:t>
      </w:r>
      <w:r>
        <w:rPr>
          <w:rFonts w:hint="eastAsia"/>
          <w:color w:val="000000"/>
          <w:szCs w:val="21"/>
        </w:rPr>
        <w:t>加</w:t>
      </w:r>
      <w:r>
        <w:rPr>
          <w:color w:val="000000"/>
          <w:szCs w:val="21"/>
        </w:rPr>
        <w:t>9分，两年优秀</w:t>
      </w:r>
      <w:r>
        <w:rPr>
          <w:rFonts w:hint="eastAsia"/>
          <w:color w:val="000000"/>
          <w:szCs w:val="21"/>
        </w:rPr>
        <w:t>加</w:t>
      </w:r>
      <w:r>
        <w:rPr>
          <w:color w:val="000000"/>
          <w:szCs w:val="21"/>
        </w:rPr>
        <w:t>6分，一年优秀</w:t>
      </w:r>
      <w:r>
        <w:rPr>
          <w:rFonts w:hint="eastAsia"/>
          <w:color w:val="000000"/>
          <w:szCs w:val="21"/>
        </w:rPr>
        <w:t>加</w:t>
      </w:r>
      <w:r>
        <w:rPr>
          <w:color w:val="000000"/>
          <w:szCs w:val="21"/>
        </w:rPr>
        <w:t>3分。</w:t>
      </w:r>
    </w:p>
    <w:p>
      <w:pPr>
        <w:adjustRightInd w:val="0"/>
        <w:snapToGrid w:val="0"/>
        <w:ind w:left="437" w:leftChars="208" w:firstLine="420" w:firstLineChars="200"/>
        <w:rPr>
          <w:color w:val="000000"/>
          <w:szCs w:val="21"/>
        </w:rPr>
      </w:pPr>
      <w:r>
        <w:rPr>
          <w:color w:val="000000"/>
          <w:szCs w:val="21"/>
        </w:rPr>
        <w:t>（奖励仅限县级</w:t>
      </w:r>
      <w:r>
        <w:rPr>
          <w:rFonts w:hint="eastAsia"/>
          <w:color w:val="000000"/>
          <w:szCs w:val="21"/>
        </w:rPr>
        <w:t>及</w:t>
      </w:r>
      <w:r>
        <w:rPr>
          <w:color w:val="000000"/>
          <w:szCs w:val="21"/>
        </w:rPr>
        <w:t xml:space="preserve">以上党委政府或国家机关部门组织命名，所有奖项以文件为准，同一类奖项按最高获奖级别计分，不重复计算）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7D31"/>
    <w:rsid w:val="00987D31"/>
    <w:rsid w:val="00FD5B4F"/>
    <w:rsid w:val="1E1F53C0"/>
    <w:rsid w:val="2DFB51FB"/>
    <w:rsid w:val="64B6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
    <w:qFormat/>
    <w:uiPriority w:val="0"/>
    <w:pPr>
      <w:spacing w:after="120"/>
    </w:pPr>
  </w:style>
  <w:style w:type="character" w:customStyle="1" w:styleId="5">
    <w:name w:val="正文文本 Char"/>
    <w:basedOn w:val="3"/>
    <w:link w:val="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2150</Words>
  <Characters>12256</Characters>
  <Lines>102</Lines>
  <Paragraphs>28</Paragraphs>
  <TotalTime>1</TotalTime>
  <ScaleCrop>false</ScaleCrop>
  <LinksUpToDate>false</LinksUpToDate>
  <CharactersWithSpaces>14378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2022-09-16T06:32:00Z</dcterms:created>
  <dc:creator>User</dc:creator>
  <cp:lastModifiedBy>Administrator</cp:lastModifiedBy>
  <dcterms:modified xsi:type="dcterms:W3CDTF">2023-02-21T00:46:08Z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