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napToGrid/>
          <w:kern w:val="2"/>
          <w:sz w:val="44"/>
          <w:szCs w:val="44"/>
          <w:lang w:val="en-US" w:eastAsia="zh-CN" w:bidi="ar-SA"/>
        </w:rPr>
      </w:pPr>
      <w:bookmarkStart w:id="0" w:name="_GoBack"/>
      <w:bookmarkEnd w:id="0"/>
      <w:r>
        <w:rPr>
          <w:rFonts w:hint="default" w:ascii="方正小标宋简体" w:hAnsi="方正小标宋简体" w:eastAsia="方正小标宋简体" w:cs="方正小标宋简体"/>
          <w:snapToGrid/>
          <w:kern w:val="2"/>
          <w:sz w:val="44"/>
          <w:szCs w:val="44"/>
          <w:lang w:val="en-US" w:eastAsia="zh-CN" w:bidi="ar-SA"/>
        </w:rPr>
        <w:t>岚皋县202</w:t>
      </w:r>
      <w:r>
        <w:rPr>
          <w:rFonts w:hint="eastAsia" w:ascii="方正小标宋简体" w:hAnsi="方正小标宋简体" w:eastAsia="方正小标宋简体" w:cs="方正小标宋简体"/>
          <w:snapToGrid/>
          <w:kern w:val="2"/>
          <w:sz w:val="44"/>
          <w:szCs w:val="44"/>
          <w:lang w:val="en-US" w:eastAsia="zh-CN" w:bidi="ar-SA"/>
        </w:rPr>
        <w:t>3</w:t>
      </w:r>
      <w:r>
        <w:rPr>
          <w:rFonts w:hint="default" w:ascii="方正小标宋简体" w:hAnsi="方正小标宋简体" w:eastAsia="方正小标宋简体" w:cs="方正小标宋简体"/>
          <w:snapToGrid/>
          <w:kern w:val="2"/>
          <w:sz w:val="44"/>
          <w:szCs w:val="44"/>
          <w:lang w:val="en-US" w:eastAsia="zh-CN" w:bidi="ar-SA"/>
        </w:rPr>
        <w:t>年政府信息公开工作年度报告</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我县坚持以习近平新时代中国特色社会主义思想为指导，深入学习贯彻党的二十大精神和习近平总书记来陕考察重要讲话重要指示精神，紧紧围绕省市总体部署，深化政务公开工作规范年活动，政府信息公开质量稳步提升。</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68" w:firstLineChars="200"/>
        <w:jc w:val="both"/>
        <w:textAlignment w:val="baseline"/>
        <w:rPr>
          <w:rFonts w:hint="eastAsia" w:ascii="仿宋_GB2312" w:hAnsi="仿宋_GB2312" w:eastAsia="仿宋_GB2312" w:cs="仿宋_GB2312"/>
          <w:sz w:val="32"/>
          <w:szCs w:val="32"/>
          <w:lang w:eastAsia="zh-CN"/>
        </w:rPr>
      </w:pPr>
      <w:r>
        <w:rPr>
          <w:rFonts w:hint="eastAsia" w:ascii="黑体" w:hAnsi="黑体" w:eastAsia="黑体" w:cs="黑体"/>
          <w:spacing w:val="7"/>
          <w:sz w:val="32"/>
          <w:szCs w:val="32"/>
        </w:rPr>
        <w:t>一、总体情况</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（一）主动公开情况。</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县政府网站</w:t>
      </w:r>
      <w:r>
        <w:rPr>
          <w:rFonts w:hint="eastAsia" w:ascii="仿宋_GB2312" w:eastAsia="仿宋_GB2312" w:cs="仿宋_GB2312"/>
          <w:color w:val="000000"/>
          <w:sz w:val="32"/>
          <w:szCs w:val="32"/>
        </w:rPr>
        <w:t>发布各类政府信息</w:t>
      </w:r>
      <w:r>
        <w:rPr>
          <w:rFonts w:hint="eastAsia" w:ascii="仿宋_GB2312" w:eastAsia="仿宋_GB2312" w:cs="仿宋_GB2312"/>
          <w:color w:val="000000"/>
          <w:sz w:val="32"/>
          <w:szCs w:val="32"/>
          <w:lang w:val="en-US" w:eastAsia="zh-CN"/>
        </w:rPr>
        <w:t>9110</w:t>
      </w:r>
      <w:r>
        <w:rPr>
          <w:rFonts w:hint="eastAsia" w:ascii="仿宋_GB2312" w:eastAsia="仿宋_GB2312" w:cs="仿宋_GB2312"/>
          <w:color w:val="000000"/>
          <w:sz w:val="32"/>
          <w:szCs w:val="32"/>
        </w:rPr>
        <w:t>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美丽岚皋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微信公众号发布</w:t>
      </w:r>
      <w:r>
        <w:rPr>
          <w:rFonts w:hint="eastAsia" w:ascii="仿宋_GB2312" w:hAnsi="仿宋_GB2312" w:eastAsia="仿宋_GB2312" w:cs="仿宋_GB2312"/>
          <w:sz w:val="32"/>
          <w:szCs w:val="32"/>
        </w:rPr>
        <w:t>信息</w:t>
      </w:r>
      <w:r>
        <w:rPr>
          <w:rFonts w:hint="eastAsia" w:ascii="仿宋_GB2312" w:hAnsi="仿宋_GB2312" w:eastAsia="仿宋_GB2312" w:cs="仿宋_GB2312"/>
          <w:sz w:val="32"/>
          <w:szCs w:val="32"/>
          <w:lang w:val="en-US" w:eastAsia="zh-CN"/>
        </w:rPr>
        <w:t>430</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美丽岚皋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新浪微博发布</w:t>
      </w:r>
      <w:r>
        <w:rPr>
          <w:rFonts w:hint="eastAsia" w:ascii="仿宋_GB2312" w:hAnsi="仿宋_GB2312" w:eastAsia="仿宋_GB2312" w:cs="仿宋_GB2312"/>
          <w:sz w:val="32"/>
          <w:szCs w:val="32"/>
        </w:rPr>
        <w:t>信息</w:t>
      </w:r>
      <w:r>
        <w:rPr>
          <w:rFonts w:hint="eastAsia" w:ascii="仿宋_GB2312" w:hAnsi="仿宋_GB2312" w:eastAsia="仿宋_GB2312" w:cs="仿宋_GB2312"/>
          <w:sz w:val="32"/>
          <w:szCs w:val="32"/>
          <w:lang w:val="en-US" w:eastAsia="zh-CN"/>
        </w:rPr>
        <w:t>499</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，内容更新及时、管理规范</w:t>
      </w:r>
      <w:r>
        <w:rPr>
          <w:rFonts w:hint="eastAsia" w:ascii="仿宋_GB2312" w:eastAsia="仿宋_GB2312" w:cs="仿宋_GB2312"/>
          <w:color w:val="000000"/>
          <w:sz w:val="32"/>
          <w:szCs w:val="32"/>
          <w:lang w:eastAsia="zh-CN"/>
        </w:rPr>
        <w:t>，并</w:t>
      </w:r>
      <w:r>
        <w:rPr>
          <w:rFonts w:hint="eastAsia" w:ascii="仿宋_GB2312" w:hAnsi="仿宋_GB2312" w:eastAsia="仿宋_GB2312" w:cs="仿宋_GB2312"/>
          <w:sz w:val="32"/>
          <w:szCs w:val="32"/>
          <w:lang w:eastAsia="zh-CN"/>
        </w:rPr>
        <w:t>按时编制公开了政府网站监管年度报表、政府网站工作报表。</w:t>
      </w:r>
      <w:r>
        <w:rPr>
          <w:rFonts w:hint="eastAsia" w:ascii="仿宋_GB2312" w:eastAsia="仿宋_GB2312" w:cs="仿宋_GB2312"/>
          <w:color w:val="000000"/>
          <w:sz w:val="32"/>
          <w:szCs w:val="32"/>
          <w:lang w:eastAsia="zh-CN"/>
        </w:rPr>
        <w:t>办理12345便民服务热线工单3527件，按期回复率100%</w:t>
      </w:r>
      <w:r>
        <w:rPr>
          <w:rFonts w:hint="eastAsia" w:ascii="仿宋_GB2312" w:eastAsia="仿宋_GB2312" w:cs="仿宋_GB2312"/>
          <w:color w:val="000000"/>
          <w:sz w:val="32"/>
          <w:szCs w:val="32"/>
        </w:rPr>
        <w:t>。运用图解、问答、视频等多种形式开展政策解读，</w:t>
      </w:r>
      <w:r>
        <w:rPr>
          <w:rFonts w:hint="eastAsia" w:ascii="仿宋_GB2312" w:hAnsi="仿宋_GB2312" w:eastAsia="仿宋_GB2312" w:cs="仿宋_GB2312"/>
          <w:sz w:val="32"/>
          <w:szCs w:val="32"/>
          <w:lang w:eastAsia="zh-CN"/>
        </w:rPr>
        <w:t>发布涉及民生政策解读信息</w:t>
      </w:r>
      <w:r>
        <w:rPr>
          <w:rFonts w:hint="eastAsia" w:ascii="仿宋_GB2312" w:hAnsi="仿宋_GB2312" w:eastAsia="仿宋_GB2312" w:cs="仿宋_GB2312"/>
          <w:sz w:val="32"/>
          <w:szCs w:val="32"/>
          <w:lang w:val="en-US" w:eastAsia="zh-CN"/>
        </w:rPr>
        <w:t>40余</w:t>
      </w:r>
      <w:r>
        <w:rPr>
          <w:rFonts w:hint="eastAsia" w:ascii="仿宋_GB2312" w:hAnsi="仿宋_GB2312" w:eastAsia="仿宋_GB2312" w:cs="仿宋_GB2312"/>
          <w:sz w:val="32"/>
          <w:szCs w:val="32"/>
          <w:lang w:eastAsia="zh-CN"/>
        </w:rPr>
        <w:t>条</w:t>
      </w:r>
      <w:r>
        <w:rPr>
          <w:rFonts w:hint="eastAsia" w:ascii="仿宋_GB2312" w:eastAsia="仿宋_GB2312" w:cs="仿宋_GB2312"/>
          <w:color w:val="000000"/>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楷体" w:hAnsi="楷体" w:eastAsia="楷体" w:cs="楷体"/>
          <w:sz w:val="32"/>
          <w:szCs w:val="32"/>
        </w:rPr>
        <w:t>（二）依申请公开情况。</w:t>
      </w:r>
      <w:r>
        <w:rPr>
          <w:rFonts w:hint="eastAsia" w:ascii="仿宋_GB2312" w:hAnsi="仿宋_GB2312" w:eastAsia="仿宋_GB2312" w:cs="仿宋_GB2312"/>
          <w:sz w:val="32"/>
          <w:szCs w:val="32"/>
          <w:lang w:val="en-US" w:eastAsia="zh-CN"/>
        </w:rPr>
        <w:t>规范依申请公开工作流程，畅通依申请公开办理通道，做到即时受理、即时转办、按时回复。2023年共收到政府信息公开申请11件，</w:t>
      </w:r>
      <w:r>
        <w:rPr>
          <w:rFonts w:hint="eastAsia" w:ascii="仿宋_GB2312" w:hAnsi="仿宋_GB2312" w:eastAsia="仿宋_GB2312" w:cs="仿宋_GB2312"/>
          <w:sz w:val="32"/>
          <w:szCs w:val="32"/>
        </w:rPr>
        <w:t>严格</w:t>
      </w:r>
      <w:r>
        <w:rPr>
          <w:rFonts w:hint="eastAsia" w:ascii="仿宋_GB2312" w:hAnsi="仿宋_GB2312" w:eastAsia="仿宋_GB2312" w:cs="仿宋_GB2312"/>
          <w:sz w:val="32"/>
          <w:szCs w:val="32"/>
          <w:lang w:val="en-US" w:eastAsia="zh-CN"/>
        </w:rPr>
        <w:t>按照《陕西省政府信息依申请公开答复示范文本》在法定期限内依法办结8件，</w:t>
      </w:r>
      <w:r>
        <w:rPr>
          <w:rFonts w:hint="eastAsia" w:ascii="仿宋_GB2312" w:hAnsi="仿宋_GB2312" w:eastAsia="仿宋_GB2312" w:cs="仿宋_GB2312"/>
          <w:sz w:val="32"/>
          <w:szCs w:val="32"/>
        </w:rPr>
        <w:t>结转到下年度继续办理</w:t>
      </w:r>
      <w:r>
        <w:rPr>
          <w:rFonts w:hint="eastAsia" w:ascii="仿宋_GB2312" w:hAnsi="仿宋_GB2312" w:eastAsia="仿宋_GB2312" w:cs="仿宋_GB2312"/>
          <w:sz w:val="32"/>
          <w:szCs w:val="32"/>
          <w:lang w:val="en-US" w:eastAsia="zh-CN"/>
        </w:rPr>
        <w:t>3件，未发生信息公开类行政复议情形</w:t>
      </w:r>
      <w:r>
        <w:rPr>
          <w:rFonts w:hint="eastAsia" w:ascii="仿宋_GB2312" w:hAnsi="仿宋_GB2312" w:eastAsia="仿宋_GB2312" w:cs="仿宋_GB231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楷体" w:hAnsi="楷体" w:eastAsia="楷体" w:cs="楷体"/>
          <w:sz w:val="32"/>
          <w:szCs w:val="32"/>
        </w:rPr>
        <w:t>（三）政府信息管理情况。</w:t>
      </w:r>
      <w:r>
        <w:rPr>
          <w:rFonts w:hint="eastAsia" w:ascii="仿宋_GB2312" w:eastAsia="仿宋_GB2312" w:cs="仿宋_GB2312"/>
          <w:color w:val="000000"/>
          <w:sz w:val="32"/>
          <w:szCs w:val="32"/>
          <w:lang w:val="en-US" w:eastAsia="zh-CN"/>
        </w:rPr>
        <w:t>按照</w:t>
      </w:r>
      <w:r>
        <w:rPr>
          <w:rFonts w:hint="eastAsia" w:ascii="仿宋_GB2312" w:hAnsi="仿宋_GB2312" w:eastAsia="仿宋_GB2312" w:cs="仿宋_GB2312"/>
          <w:sz w:val="32"/>
          <w:szCs w:val="32"/>
          <w:lang w:val="en-US" w:eastAsia="zh-CN"/>
        </w:rPr>
        <w:t>《岚</w:t>
      </w:r>
      <w:r>
        <w:rPr>
          <w:rFonts w:hint="eastAsia" w:ascii="仿宋_GB2312" w:hAnsi="仿宋_GB2312" w:eastAsia="仿宋_GB2312" w:cs="仿宋_GB2312"/>
          <w:sz w:val="32"/>
          <w:szCs w:val="32"/>
        </w:rPr>
        <w:t>皋县人民政府网站管理办法》《岚皋县政务新媒体管理办法》</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严把政府信息审核发布关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pacing w:val="-23"/>
          <w:kern w:val="2"/>
          <w:sz w:val="32"/>
          <w:szCs w:val="32"/>
          <w:vertAlign w:val="baseline"/>
          <w:lang w:val="en-US" w:eastAsia="zh-CN" w:bidi="ar-SA"/>
        </w:rPr>
        <w:t>信息安全、准确、及时、有效发布。</w:t>
      </w:r>
      <w:r>
        <w:rPr>
          <w:rFonts w:hint="eastAsia" w:ascii="仿宋_GB2312" w:hAnsi="仿宋_GB2312" w:eastAsia="仿宋_GB2312" w:cs="仿宋_GB2312"/>
          <w:sz w:val="32"/>
          <w:szCs w:val="32"/>
          <w:lang w:eastAsia="zh-CN"/>
        </w:rPr>
        <w:t>持续</w:t>
      </w:r>
      <w:r>
        <w:rPr>
          <w:rFonts w:hint="eastAsia" w:ascii="仿宋_GB2312" w:hAnsi="仿宋_GB2312" w:eastAsia="仿宋_GB2312" w:cs="仿宋_GB2312"/>
          <w:sz w:val="32"/>
          <w:szCs w:val="32"/>
        </w:rPr>
        <w:t>规范县政府网站和政务新媒体日常管理和维护，</w:t>
      </w:r>
      <w:r>
        <w:rPr>
          <w:rFonts w:hint="eastAsia" w:ascii="仿宋_GB2312" w:hAnsi="仿宋_GB2312" w:eastAsia="仿宋_GB2312" w:cs="仿宋_GB2312"/>
          <w:sz w:val="32"/>
          <w:szCs w:val="32"/>
          <w:lang w:eastAsia="zh-CN"/>
        </w:rPr>
        <w:t>实现了安全、平稳、高效运行</w:t>
      </w:r>
      <w:r>
        <w:rPr>
          <w:rFonts w:hint="eastAsia" w:ascii="仿宋_GB2312" w:hAnsi="仿宋_GB2312" w:eastAsia="仿宋_GB2312" w:cs="仿宋_GB2312"/>
          <w:sz w:val="32"/>
          <w:szCs w:val="32"/>
        </w:rPr>
        <w:t>。</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eastAsia="仿宋_GB2312" w:cs="仿宋_GB2312"/>
          <w:color w:val="000000"/>
          <w:sz w:val="32"/>
          <w:szCs w:val="32"/>
        </w:rPr>
      </w:pPr>
      <w:r>
        <w:rPr>
          <w:rFonts w:hint="eastAsia" w:ascii="楷体" w:hAnsi="楷体" w:eastAsia="楷体" w:cs="楷体"/>
          <w:sz w:val="32"/>
          <w:szCs w:val="32"/>
        </w:rPr>
        <w:t>（四）平台建设情况。</w:t>
      </w:r>
      <w:r>
        <w:rPr>
          <w:rFonts w:hint="eastAsia" w:ascii="仿宋_GB2312" w:eastAsia="仿宋_GB2312" w:cs="仿宋_GB2312"/>
          <w:color w:val="000000"/>
          <w:sz w:val="32"/>
          <w:szCs w:val="32"/>
        </w:rPr>
        <w:t>印发《</w:t>
      </w:r>
      <w:r>
        <w:rPr>
          <w:rFonts w:hint="eastAsia" w:ascii="仿宋_GB2312" w:eastAsia="仿宋_GB2312" w:cs="仿宋_GB2312"/>
          <w:color w:val="000000"/>
          <w:sz w:val="32"/>
          <w:szCs w:val="32"/>
          <w:lang w:eastAsia="zh-CN"/>
        </w:rPr>
        <w:t>岚皋县</w:t>
      </w:r>
      <w:r>
        <w:rPr>
          <w:rFonts w:hint="eastAsia" w:ascii="仿宋_GB2312" w:eastAsia="仿宋_GB2312" w:cs="仿宋_GB2312"/>
          <w:color w:val="000000"/>
          <w:sz w:val="32"/>
          <w:szCs w:val="32"/>
        </w:rPr>
        <w:t>政务公开工作规范年活动方案》</w:t>
      </w:r>
      <w:r>
        <w:rPr>
          <w:rFonts w:hint="eastAsia" w:asci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CN"/>
        </w:rPr>
        <w:t>对县政府网站进行优化调整，规范政府信息公开平台建设。</w:t>
      </w:r>
      <w:r>
        <w:rPr>
          <w:rFonts w:hint="eastAsia" w:ascii="仿宋_GB2312" w:hAnsi="仿宋_GB2312" w:eastAsia="仿宋_GB2312" w:cs="仿宋_GB2312"/>
          <w:sz w:val="32"/>
          <w:szCs w:val="32"/>
        </w:rPr>
        <w:t>积极推进政府网站集约化、规范化和标准化建设，</w:t>
      </w:r>
      <w:r>
        <w:rPr>
          <w:rFonts w:hint="eastAsia" w:ascii="仿宋_GB2312" w:hAnsi="仿宋_GB2312" w:eastAsia="仿宋_GB2312" w:cs="仿宋_GB2312"/>
          <w:color w:val="000000"/>
          <w:sz w:val="32"/>
          <w:szCs w:val="32"/>
          <w:lang w:val="en-US" w:eastAsia="zh-CN"/>
        </w:rPr>
        <w:t>建成政策文件库和政策问答平台，梳理规范并集中统一发布政策文件405条，知识问答信息1004条，</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楷体" w:hAnsi="楷体" w:eastAsia="楷体" w:cs="楷体"/>
          <w:sz w:val="32"/>
          <w:szCs w:val="32"/>
        </w:rPr>
        <w:t>（五）监督保障。</w:t>
      </w:r>
      <w:r>
        <w:rPr>
          <w:rFonts w:hint="eastAsia" w:ascii="仿宋_GB2312" w:eastAsia="仿宋_GB2312" w:cs="仿宋_GB2312"/>
          <w:color w:val="000000"/>
          <w:sz w:val="32"/>
          <w:szCs w:val="32"/>
        </w:rPr>
        <w:t>根据省、市</w:t>
      </w:r>
      <w:r>
        <w:rPr>
          <w:rFonts w:hint="eastAsia" w:ascii="仿宋_GB2312" w:eastAsia="仿宋_GB2312" w:cs="仿宋_GB2312"/>
          <w:color w:val="000000"/>
          <w:sz w:val="32"/>
          <w:szCs w:val="32"/>
          <w:lang w:eastAsia="zh-CN"/>
        </w:rPr>
        <w:t>2023年</w:t>
      </w:r>
      <w:r>
        <w:rPr>
          <w:rFonts w:hint="eastAsia" w:ascii="仿宋_GB2312" w:eastAsia="仿宋_GB2312" w:cs="仿宋_GB2312"/>
          <w:color w:val="000000"/>
          <w:sz w:val="32"/>
          <w:szCs w:val="32"/>
        </w:rPr>
        <w:t>政务公开重点任务要求，</w:t>
      </w:r>
      <w:r>
        <w:rPr>
          <w:rFonts w:hint="eastAsia" w:ascii="仿宋_GB2312" w:eastAsia="仿宋_GB2312" w:cs="仿宋_GB2312"/>
          <w:color w:val="000000"/>
          <w:sz w:val="32"/>
          <w:szCs w:val="32"/>
          <w:lang w:eastAsia="zh-CN"/>
        </w:rPr>
        <w:t>及时</w:t>
      </w:r>
      <w:r>
        <w:rPr>
          <w:rFonts w:hint="eastAsia" w:ascii="仿宋_GB2312" w:eastAsia="仿宋_GB2312" w:cs="仿宋_GB2312"/>
          <w:color w:val="000000"/>
          <w:sz w:val="32"/>
          <w:szCs w:val="32"/>
        </w:rPr>
        <w:t>分解</w:t>
      </w:r>
      <w:r>
        <w:rPr>
          <w:rFonts w:hint="eastAsia" w:ascii="仿宋_GB2312" w:eastAsia="仿宋_GB2312" w:cs="仿宋_GB2312"/>
          <w:color w:val="000000"/>
          <w:sz w:val="32"/>
          <w:szCs w:val="32"/>
          <w:lang w:eastAsia="zh-CN"/>
        </w:rPr>
        <w:t>细化年度</w:t>
      </w:r>
      <w:r>
        <w:rPr>
          <w:rFonts w:hint="eastAsia" w:ascii="仿宋_GB2312" w:eastAsia="仿宋_GB2312" w:cs="仿宋_GB2312"/>
          <w:color w:val="000000"/>
          <w:sz w:val="32"/>
          <w:szCs w:val="32"/>
        </w:rPr>
        <w:t>重点任务，</w:t>
      </w:r>
      <w:r>
        <w:rPr>
          <w:rFonts w:hint="eastAsia" w:ascii="仿宋_GB2312" w:eastAsia="仿宋_GB2312" w:cs="仿宋_GB2312"/>
          <w:color w:val="000000"/>
          <w:sz w:val="32"/>
          <w:szCs w:val="32"/>
          <w:lang w:eastAsia="zh-CN"/>
        </w:rPr>
        <w:t>全面夯实各镇、各部门工作责任</w:t>
      </w:r>
      <w:r>
        <w:rPr>
          <w:rFonts w:hint="eastAsia" w:ascii="仿宋_GB2312" w:eastAsia="仿宋_GB2312" w:cs="仿宋_GB2312"/>
          <w:color w:val="000000"/>
          <w:sz w:val="32"/>
          <w:szCs w:val="32"/>
        </w:rPr>
        <w:t>，</w:t>
      </w:r>
      <w:r>
        <w:rPr>
          <w:rFonts w:hint="eastAsia" w:ascii="仿宋_GB2312" w:eastAsia="仿宋_GB2312" w:cs="仿宋_GB2312"/>
          <w:color w:val="000000"/>
          <w:sz w:val="32"/>
          <w:szCs w:val="32"/>
          <w:lang w:eastAsia="zh-CN"/>
        </w:rPr>
        <w:t>构建了</w:t>
      </w:r>
      <w:r>
        <w:rPr>
          <w:rFonts w:hint="eastAsia" w:ascii="仿宋_GB2312" w:eastAsia="仿宋_GB2312" w:cs="仿宋_GB2312"/>
          <w:color w:val="000000"/>
          <w:sz w:val="32"/>
          <w:szCs w:val="32"/>
        </w:rPr>
        <w:t>政府领导、信息中心牵头协调、部门分口负责、上下协同配合的工作</w:t>
      </w:r>
      <w:r>
        <w:rPr>
          <w:rFonts w:hint="eastAsia" w:ascii="仿宋_GB2312" w:eastAsia="仿宋_GB2312" w:cs="仿宋_GB2312"/>
          <w:color w:val="000000"/>
          <w:sz w:val="32"/>
          <w:szCs w:val="32"/>
          <w:lang w:eastAsia="zh-CN"/>
        </w:rPr>
        <w:t>格局</w:t>
      </w:r>
      <w:r>
        <w:rPr>
          <w:rFonts w:hint="eastAsia" w:ascii="仿宋_GB2312" w:eastAsia="仿宋_GB2312" w:cs="仿宋_GB2312"/>
          <w:color w:val="000000"/>
          <w:sz w:val="32"/>
          <w:szCs w:val="32"/>
        </w:rPr>
        <w:t>。</w:t>
      </w:r>
      <w:r>
        <w:rPr>
          <w:rFonts w:hint="eastAsia" w:ascii="仿宋_GB2312" w:hAnsi="仿宋_GB2312" w:eastAsia="仿宋_GB2312" w:cs="仿宋_GB2312"/>
          <w:sz w:val="32"/>
          <w:szCs w:val="32"/>
          <w:lang w:eastAsia="zh-CN"/>
        </w:rPr>
        <w:t>常态化开展政府</w:t>
      </w:r>
      <w:r>
        <w:rPr>
          <w:rFonts w:hint="eastAsia" w:ascii="仿宋_GB2312" w:hAnsi="仿宋_GB2312" w:eastAsia="仿宋_GB2312" w:cs="仿宋_GB2312"/>
          <w:sz w:val="32"/>
          <w:szCs w:val="32"/>
        </w:rPr>
        <w:t>网站及政务新媒体运行</w:t>
      </w:r>
      <w:r>
        <w:rPr>
          <w:rFonts w:hint="eastAsia" w:ascii="仿宋_GB2312" w:hAnsi="仿宋_GB2312" w:eastAsia="仿宋_GB2312" w:cs="仿宋_GB2312"/>
          <w:sz w:val="32"/>
          <w:szCs w:val="32"/>
          <w:lang w:eastAsia="zh-CN"/>
        </w:rPr>
        <w:t>自查自纠，严格实行“日反馈、季通报、年度考核”工作机制，有效保障了全县政府网站和政务新媒体安全平稳运行。</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68" w:firstLineChars="200"/>
        <w:jc w:val="both"/>
        <w:textAlignment w:val="baseline"/>
        <w:rPr>
          <w:rFonts w:hint="eastAsia" w:ascii="黑体" w:hAnsi="黑体" w:eastAsia="黑体" w:cs="黑体"/>
          <w:spacing w:val="7"/>
          <w:sz w:val="32"/>
          <w:szCs w:val="32"/>
        </w:rPr>
      </w:pPr>
      <w:r>
        <w:rPr>
          <w:rFonts w:hint="eastAsia" w:ascii="黑体" w:hAnsi="黑体" w:eastAsia="黑体" w:cs="黑体"/>
          <w:spacing w:val="7"/>
          <w:sz w:val="32"/>
          <w:szCs w:val="32"/>
        </w:rPr>
        <w:t>二、主动公开政府信息情况</w:t>
      </w:r>
    </w:p>
    <w:tbl>
      <w:tblPr>
        <w:tblStyle w:val="10"/>
        <w:tblpPr w:leftFromText="180" w:rightFromText="180" w:vertAnchor="text" w:horzAnchor="page" w:tblpX="1226" w:tblpY="674"/>
        <w:tblOverlap w:val="never"/>
        <w:tblW w:w="9740" w:type="dxa"/>
        <w:tblInd w:w="0" w:type="dxa"/>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第二十条第（一）项</w:t>
            </w:r>
          </w:p>
        </w:tc>
      </w:tr>
      <w:tr>
        <w:tblPrEx>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本年</w:t>
            </w:r>
            <w:r>
              <w:rPr>
                <w:rFonts w:hint="eastAsia" w:ascii="宋体" w:hAnsi="宋体" w:cs="宋体"/>
                <w:kern w:val="0"/>
                <w:sz w:val="20"/>
                <w:szCs w:val="20"/>
                <w:lang w:bidi="ar"/>
              </w:rPr>
              <w:t>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现行有效件</w:t>
            </w:r>
            <w:r>
              <w:rPr>
                <w:rFonts w:hint="eastAsia" w:ascii="宋体" w:hAnsi="宋体" w:cs="宋体"/>
                <w:kern w:val="0"/>
                <w:sz w:val="20"/>
                <w:szCs w:val="20"/>
                <w:lang w:bidi="ar"/>
              </w:rPr>
              <w:t>数</w:t>
            </w:r>
          </w:p>
        </w:tc>
      </w:tr>
      <w:tr>
        <w:tblPrEx>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spacing w:line="560" w:lineRule="exact"/>
              <w:jc w:val="left"/>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仿宋_GB2312" w:hAnsi="仿宋_GB2312" w:eastAsia="仿宋_GB2312" w:cs="仿宋_GB2312"/>
                <w:szCs w:val="21"/>
                <w:lang w:val="en"/>
              </w:rPr>
            </w:pPr>
            <w:r>
              <w:rPr>
                <w:rFonts w:hint="eastAsia" w:ascii="仿宋_GB2312" w:hAnsi="仿宋_GB2312" w:eastAsia="仿宋_GB2312" w:cs="仿宋_GB2312"/>
                <w:color w:val="000000"/>
                <w:kern w:val="0"/>
                <w:szCs w:val="21"/>
                <w:lang w:val="e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仿宋_GB2312" w:hAnsi="仿宋_GB2312" w:eastAsia="仿宋_GB2312" w:cs="仿宋_GB2312"/>
                <w:szCs w:val="21"/>
                <w:lang w:val="en"/>
              </w:rPr>
            </w:pPr>
            <w:r>
              <w:rPr>
                <w:rFonts w:hint="eastAsia" w:ascii="仿宋_GB2312" w:hAnsi="仿宋_GB2312" w:eastAsia="仿宋_GB2312" w:cs="仿宋_GB2312"/>
                <w:color w:val="000000"/>
                <w:kern w:val="0"/>
                <w:szCs w:val="21"/>
                <w:lang w:val="e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仿宋_GB2312" w:hAnsi="仿宋_GB2312" w:eastAsia="仿宋_GB2312" w:cs="仿宋_GB2312"/>
                <w:szCs w:val="21"/>
                <w:lang w:val="en" w:eastAsia="zh-CN"/>
              </w:rPr>
            </w:pPr>
            <w:r>
              <w:rPr>
                <w:rFonts w:hint="eastAsia" w:ascii="仿宋_GB2312" w:hAnsi="仿宋_GB2312" w:eastAsia="仿宋_GB2312" w:cs="仿宋_GB2312"/>
                <w:kern w:val="0"/>
                <w:szCs w:val="21"/>
                <w:lang w:val="en-US" w:eastAsia="zh-CN" w:bidi="ar"/>
              </w:rPr>
              <w:t>0</w:t>
            </w:r>
          </w:p>
        </w:tc>
      </w:tr>
      <w:tr>
        <w:tblPrEx>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spacing w:line="560" w:lineRule="exact"/>
              <w:jc w:val="left"/>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仿宋_GB2312" w:hAnsi="仿宋_GB2312" w:eastAsia="仿宋_GB2312" w:cs="仿宋_GB2312"/>
                <w:szCs w:val="21"/>
                <w:lang w:val="en" w:eastAsia="zh-CN"/>
              </w:rPr>
            </w:pPr>
            <w:r>
              <w:rPr>
                <w:rFonts w:hint="eastAsia" w:ascii="仿宋_GB2312" w:hAnsi="仿宋_GB2312" w:eastAsia="仿宋_GB2312" w:cs="仿宋_GB2312"/>
                <w:color w:val="000000"/>
                <w:kern w:val="0"/>
                <w:szCs w:val="21"/>
                <w:lang w:val="en-US" w:eastAsia="zh-CN" w:bidi="ar"/>
              </w:rPr>
              <w:t>9</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仿宋_GB2312" w:hAnsi="仿宋_GB2312" w:eastAsia="仿宋_GB2312" w:cs="仿宋_GB2312"/>
                <w:szCs w:val="21"/>
                <w:lang w:val="en" w:eastAsia="zh-CN"/>
              </w:rPr>
            </w:pPr>
            <w:r>
              <w:rPr>
                <w:rFonts w:hint="eastAsia" w:ascii="仿宋_GB2312" w:hAnsi="仿宋_GB2312" w:eastAsia="仿宋_GB2312" w:cs="仿宋_GB2312"/>
                <w:color w:val="000000"/>
                <w:kern w:val="0"/>
                <w:szCs w:val="21"/>
                <w:lang w:val="en-US" w:eastAsia="zh-CN" w:bidi="ar"/>
              </w:rPr>
              <w:t>8</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kern w:val="0"/>
                <w:szCs w:val="21"/>
                <w:lang w:val="en-US" w:eastAsia="zh-CN" w:bidi="ar"/>
              </w:rPr>
              <w:t>34</w:t>
            </w:r>
          </w:p>
        </w:tc>
      </w:tr>
      <w:tr>
        <w:tblPrEx>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第二十条第（五）项</w:t>
            </w:r>
          </w:p>
        </w:tc>
      </w:tr>
      <w:tr>
        <w:tblPrEx>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spacing w:line="560" w:lineRule="exact"/>
              <w:jc w:val="left"/>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eastAsia="zh-CN"/>
              </w:rPr>
            </w:pPr>
            <w:r>
              <w:rPr>
                <w:rFonts w:hint="eastAsia" w:ascii="仿宋_GB2312" w:hAnsi="仿宋_GB2312" w:eastAsia="仿宋_GB2312" w:cs="仿宋_GB2312"/>
                <w:color w:val="000000"/>
                <w:kern w:val="0"/>
                <w:szCs w:val="21"/>
                <w:lang w:val="en-US" w:eastAsia="zh-CN" w:bidi="ar"/>
              </w:rPr>
              <w:t xml:space="preserve">26684 </w:t>
            </w:r>
          </w:p>
        </w:tc>
      </w:tr>
      <w:tr>
        <w:tblPrEx>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第二十条第（六）项</w:t>
            </w:r>
          </w:p>
        </w:tc>
      </w:tr>
      <w:tr>
        <w:tblPrEx>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spacing w:line="560" w:lineRule="exact"/>
              <w:jc w:val="left"/>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仿宋_GB2312" w:hAnsi="仿宋_GB2312" w:eastAsia="仿宋_GB2312" w:cs="仿宋_GB2312"/>
                <w:color w:val="000000"/>
                <w:kern w:val="0"/>
                <w:szCs w:val="21"/>
                <w:lang w:val="en" w:eastAsia="zh-CN" w:bidi="ar"/>
              </w:rPr>
            </w:pPr>
            <w:r>
              <w:rPr>
                <w:rFonts w:hint="eastAsia" w:ascii="仿宋_GB2312" w:hAnsi="仿宋_GB2312" w:eastAsia="仿宋_GB2312" w:cs="仿宋_GB2312"/>
                <w:color w:val="000000"/>
                <w:kern w:val="0"/>
                <w:szCs w:val="21"/>
                <w:lang w:val="en-US" w:eastAsia="zh-CN" w:bidi="ar"/>
              </w:rPr>
              <w:t xml:space="preserve">631 </w:t>
            </w:r>
          </w:p>
        </w:tc>
      </w:tr>
      <w:tr>
        <w:tblPrEx>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spacing w:line="560" w:lineRule="exact"/>
              <w:jc w:val="left"/>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仿宋_GB2312" w:hAnsi="仿宋_GB2312" w:eastAsia="仿宋_GB2312" w:cs="仿宋_GB2312"/>
                <w:color w:val="000000"/>
                <w:kern w:val="0"/>
                <w:szCs w:val="21"/>
                <w:lang w:val="en" w:eastAsia="zh-CN" w:bidi="ar"/>
              </w:rPr>
            </w:pPr>
            <w:r>
              <w:rPr>
                <w:rFonts w:hint="eastAsia" w:ascii="仿宋_GB2312" w:hAnsi="仿宋_GB2312" w:eastAsia="仿宋_GB2312" w:cs="仿宋_GB2312"/>
                <w:color w:val="000000"/>
                <w:kern w:val="0"/>
                <w:szCs w:val="21"/>
                <w:lang w:val="en-US" w:eastAsia="zh-CN" w:bidi="ar"/>
              </w:rPr>
              <w:t xml:space="preserve">152 </w:t>
            </w:r>
          </w:p>
        </w:tc>
      </w:tr>
      <w:tr>
        <w:tblPrEx>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第二十条第（八）项</w:t>
            </w:r>
          </w:p>
        </w:tc>
      </w:tr>
      <w:tr>
        <w:tblPrEx>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本年收费金额（单位：万元）</w:t>
            </w:r>
          </w:p>
        </w:tc>
      </w:tr>
      <w:tr>
        <w:tblPrEx>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spacing w:line="560" w:lineRule="exact"/>
              <w:jc w:val="left"/>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spacing w:line="560" w:lineRule="exact"/>
              <w:jc w:val="center"/>
              <w:rPr>
                <w:rFonts w:hint="eastAsia" w:ascii="宋体" w:eastAsia="宋体"/>
                <w:sz w:val="24"/>
                <w:lang w:val="en" w:eastAsia="zh-CN"/>
              </w:rPr>
            </w:pPr>
            <w:r>
              <w:rPr>
                <w:rFonts w:hint="eastAsia" w:ascii="仿宋_GB2312" w:hAnsi="仿宋_GB2312" w:eastAsia="仿宋_GB2312" w:cs="仿宋_GB2312"/>
                <w:color w:val="000000"/>
                <w:kern w:val="0"/>
                <w:szCs w:val="21"/>
                <w:lang w:val="en-US" w:eastAsia="zh-CN" w:bidi="ar"/>
              </w:rPr>
              <w:t xml:space="preserve">23.754 </w:t>
            </w: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68" w:firstLineChars="200"/>
        <w:jc w:val="both"/>
        <w:textAlignment w:val="baseline"/>
        <w:rPr>
          <w:rFonts w:hint="eastAsia" w:ascii="黑体" w:hAnsi="黑体" w:eastAsia="黑体" w:cs="黑体"/>
          <w:spacing w:val="7"/>
          <w:sz w:val="32"/>
          <w:szCs w:val="32"/>
        </w:rPr>
      </w:pPr>
      <w:r>
        <w:rPr>
          <w:rFonts w:hint="eastAsia" w:ascii="黑体" w:hAnsi="黑体" w:eastAsia="黑体" w:cs="黑体"/>
          <w:spacing w:val="7"/>
          <w:sz w:val="32"/>
          <w:szCs w:val="32"/>
        </w:rPr>
        <w:t>三、收到和处理政府信息公开申请情况</w:t>
      </w:r>
    </w:p>
    <w:tbl>
      <w:tblPr>
        <w:tblStyle w:val="10"/>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5"/>
        <w:gridCol w:w="942"/>
        <w:gridCol w:w="3208"/>
        <w:gridCol w:w="699"/>
        <w:gridCol w:w="691"/>
        <w:gridCol w:w="687"/>
        <w:gridCol w:w="687"/>
        <w:gridCol w:w="687"/>
        <w:gridCol w:w="687"/>
        <w:gridCol w:w="6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15"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widowControl/>
              <w:spacing w:line="560" w:lineRule="exact"/>
              <w:jc w:val="left"/>
            </w:pPr>
            <w:r>
              <w:rPr>
                <w:rFonts w:ascii="楷体" w:hAnsi="楷体" w:eastAsia="楷体" w:cs="楷体"/>
                <w:kern w:val="0"/>
                <w:sz w:val="20"/>
                <w:szCs w:val="20"/>
                <w:lang w:bidi="ar"/>
              </w:rPr>
              <w:t>（本列数据的勾稽关系为：第一项加第二项之和，等于第三项加第四项之和）</w:t>
            </w:r>
          </w:p>
        </w:tc>
        <w:tc>
          <w:tcPr>
            <w:tcW w:w="4833"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15"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spacing w:line="560" w:lineRule="exact"/>
              <w:rPr>
                <w:rFonts w:hint="eastAsia" w:ascii="宋体"/>
                <w:sz w:val="24"/>
              </w:rPr>
            </w:pPr>
          </w:p>
        </w:tc>
        <w:tc>
          <w:tcPr>
            <w:tcW w:w="699" w:type="dxa"/>
            <w:vMerge w:val="restart"/>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自然人</w:t>
            </w:r>
          </w:p>
        </w:tc>
        <w:tc>
          <w:tcPr>
            <w:tcW w:w="3439" w:type="dxa"/>
            <w:gridSpan w:val="5"/>
            <w:tcBorders>
              <w:top w:val="single" w:color="auto" w:sz="8" w:space="0"/>
              <w:left w:val="single" w:color="auto" w:sz="0" w:space="0"/>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法人或其他组织</w:t>
            </w:r>
          </w:p>
        </w:tc>
        <w:tc>
          <w:tcPr>
            <w:tcW w:w="695" w:type="dxa"/>
            <w:vMerge w:val="restart"/>
            <w:tcBorders>
              <w:top w:val="single" w:color="auto" w:sz="8" w:space="0"/>
              <w:left w:val="single" w:color="auto" w:sz="0" w:space="0"/>
              <w:bottom w:val="outset"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15"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spacing w:line="560" w:lineRule="exact"/>
              <w:rPr>
                <w:rFonts w:hint="eastAsia" w:ascii="宋体"/>
                <w:sz w:val="24"/>
              </w:rPr>
            </w:pPr>
          </w:p>
        </w:tc>
        <w:tc>
          <w:tcPr>
            <w:tcW w:w="699" w:type="dxa"/>
            <w:vMerge w:val="continue"/>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spacing w:line="560" w:lineRule="exact"/>
              <w:rPr>
                <w:rFonts w:hint="eastAsia" w:ascii="宋体"/>
                <w:sz w:val="24"/>
              </w:rPr>
            </w:pPr>
          </w:p>
        </w:tc>
        <w:tc>
          <w:tcPr>
            <w:tcW w:w="691"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商业</w:t>
            </w:r>
          </w:p>
          <w:p>
            <w:pPr>
              <w:widowControl/>
              <w:spacing w:line="560" w:lineRule="exact"/>
              <w:jc w:val="center"/>
            </w:pPr>
            <w:r>
              <w:rPr>
                <w:rFonts w:hint="eastAsia" w:ascii="宋体" w:hAnsi="宋体" w:cs="宋体"/>
                <w:kern w:val="0"/>
                <w:sz w:val="20"/>
                <w:szCs w:val="20"/>
                <w:lang w:bidi="ar"/>
              </w:rPr>
              <w:t>企业</w:t>
            </w:r>
          </w:p>
        </w:tc>
        <w:tc>
          <w:tcPr>
            <w:tcW w:w="687"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科研</w:t>
            </w:r>
          </w:p>
          <w:p>
            <w:pPr>
              <w:widowControl/>
              <w:spacing w:line="560" w:lineRule="exact"/>
              <w:jc w:val="center"/>
            </w:pPr>
            <w:r>
              <w:rPr>
                <w:rFonts w:hint="eastAsia" w:ascii="宋体" w:hAnsi="宋体" w:cs="宋体"/>
                <w:kern w:val="0"/>
                <w:sz w:val="20"/>
                <w:szCs w:val="20"/>
                <w:lang w:bidi="ar"/>
              </w:rPr>
              <w:t>机构</w:t>
            </w:r>
          </w:p>
        </w:tc>
        <w:tc>
          <w:tcPr>
            <w:tcW w:w="687" w:type="dxa"/>
            <w:tcBorders>
              <w:top w:val="single" w:color="auto" w:sz="8" w:space="0"/>
              <w:left w:val="single" w:color="auto" w:sz="0" w:space="0"/>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社会公益组织</w:t>
            </w:r>
          </w:p>
        </w:tc>
        <w:tc>
          <w:tcPr>
            <w:tcW w:w="687" w:type="dxa"/>
            <w:tcBorders>
              <w:top w:val="single" w:color="auto" w:sz="8" w:space="0"/>
              <w:left w:val="single" w:color="auto" w:sz="0" w:space="0"/>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法律服务机构</w:t>
            </w:r>
          </w:p>
        </w:tc>
        <w:tc>
          <w:tcPr>
            <w:tcW w:w="687" w:type="dxa"/>
            <w:tcBorders>
              <w:top w:val="single" w:color="auto" w:sz="8" w:space="0"/>
              <w:left w:val="single" w:color="auto" w:sz="0" w:space="0"/>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其他</w:t>
            </w:r>
          </w:p>
        </w:tc>
        <w:tc>
          <w:tcPr>
            <w:tcW w:w="695" w:type="dxa"/>
            <w:vMerge w:val="continue"/>
            <w:tcBorders>
              <w:top w:val="single" w:color="auto" w:sz="8" w:space="0"/>
              <w:left w:val="single" w:color="auto" w:sz="0" w:space="0"/>
              <w:bottom w:val="outset" w:color="auto" w:sz="8" w:space="0"/>
              <w:right w:val="single" w:color="auto" w:sz="8" w:space="0"/>
            </w:tcBorders>
            <w:noWrap w:val="0"/>
            <w:tcMar>
              <w:left w:w="57" w:type="dxa"/>
              <w:right w:w="57" w:type="dxa"/>
            </w:tcMar>
            <w:vAlign w:val="center"/>
          </w:tcPr>
          <w:p>
            <w:pPr>
              <w:spacing w:line="560" w:lineRule="exact"/>
              <w:rPr>
                <w:rFonts w:hint="eastAsia"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15"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一、本年新收政府信息公开申请数量</w:t>
            </w:r>
          </w:p>
        </w:tc>
        <w:tc>
          <w:tcPr>
            <w:tcW w:w="699" w:type="dxa"/>
            <w:tcBorders>
              <w:top w:val="nil"/>
              <w:left w:val="nil"/>
              <w:bottom w:val="single" w:color="auto" w:sz="8" w:space="0"/>
              <w:right w:val="single" w:color="auto" w:sz="8" w:space="0"/>
            </w:tcBorders>
            <w:noWrap w:val="0"/>
            <w:tcMar>
              <w:left w:w="57" w:type="dxa"/>
              <w:right w:w="57" w:type="dxa"/>
            </w:tcMar>
            <w:vAlign w:val="center"/>
          </w:tcPr>
          <w:p>
            <w:pPr>
              <w:spacing w:line="560" w:lineRule="exact"/>
              <w:jc w:val="center"/>
              <w:rPr>
                <w:rFonts w:hint="eastAsia" w:ascii="仿宋_GB2312" w:hAnsi="仿宋_GB2312" w:eastAsia="仿宋_GB2312" w:cs="仿宋_GB2312"/>
                <w:color w:val="000000"/>
                <w:kern w:val="0"/>
                <w:szCs w:val="21"/>
                <w:lang w:val="en" w:eastAsia="zh-CN" w:bidi="ar"/>
              </w:rPr>
            </w:pPr>
            <w:r>
              <w:rPr>
                <w:rFonts w:hint="eastAsia" w:ascii="仿宋_GB2312" w:hAnsi="仿宋_GB2312" w:eastAsia="仿宋_GB2312" w:cs="仿宋_GB2312"/>
                <w:color w:val="000000"/>
                <w:kern w:val="0"/>
                <w:szCs w:val="21"/>
                <w:lang w:val="en-US" w:eastAsia="zh-CN" w:bidi="ar"/>
              </w:rPr>
              <w:t xml:space="preserve">11 </w:t>
            </w:r>
          </w:p>
        </w:tc>
        <w:tc>
          <w:tcPr>
            <w:tcW w:w="691" w:type="dxa"/>
            <w:tcBorders>
              <w:top w:val="nil"/>
              <w:left w:val="nil"/>
              <w:bottom w:val="single" w:color="auto" w:sz="8" w:space="0"/>
              <w:right w:val="single" w:color="auto" w:sz="8" w:space="0"/>
            </w:tcBorders>
            <w:noWrap w:val="0"/>
            <w:tcMar>
              <w:left w:w="57" w:type="dxa"/>
              <w:right w:w="57" w:type="dxa"/>
            </w:tcMar>
            <w:vAlign w:val="center"/>
          </w:tcPr>
          <w:p>
            <w:pPr>
              <w:spacing w:line="560" w:lineRule="exact"/>
              <w:jc w:val="center"/>
              <w:rPr>
                <w:rFonts w:hint="eastAsia" w:ascii="仿宋_GB2312" w:hAnsi="仿宋_GB2312" w:eastAsia="仿宋_GB2312" w:cs="仿宋_GB2312"/>
                <w:color w:val="000000"/>
                <w:kern w:val="0"/>
                <w:szCs w:val="21"/>
                <w:lang w:val="en" w:eastAsia="zh-CN" w:bidi="ar"/>
              </w:rPr>
            </w:pPr>
            <w:r>
              <w:rPr>
                <w:rFonts w:hint="eastAsia" w:ascii="仿宋_GB2312" w:hAnsi="仿宋_GB2312" w:eastAsia="仿宋_GB2312" w:cs="仿宋_GB2312"/>
                <w:color w:val="000000"/>
                <w:kern w:val="0"/>
                <w:szCs w:val="21"/>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r>
              <w:rPr>
                <w:rFonts w:ascii="仿宋_GB2312" w:hAnsi="仿宋_GB2312" w:eastAsia="仿宋_GB2312" w:cs="仿宋_GB2312"/>
                <w:color w:val="000000"/>
                <w:kern w:val="0"/>
                <w:szCs w:val="21"/>
                <w:lang w:bidi="ar"/>
              </w:rPr>
              <w:t> </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95"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hint="default"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val="en-US" w:eastAsia="zh-CN" w:bidi="ar"/>
              </w:rPr>
              <w:t>11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15"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二、上年结转政府信息公开申请数量</w:t>
            </w:r>
          </w:p>
        </w:tc>
        <w:tc>
          <w:tcPr>
            <w:tcW w:w="699" w:type="dxa"/>
            <w:tcBorders>
              <w:top w:val="nil"/>
              <w:left w:val="nil"/>
              <w:bottom w:val="single" w:color="auto" w:sz="8" w:space="0"/>
              <w:right w:val="single" w:color="auto" w:sz="8" w:space="0"/>
            </w:tcBorders>
            <w:noWrap w:val="0"/>
            <w:tcMar>
              <w:left w:w="57" w:type="dxa"/>
              <w:right w:w="57" w:type="dxa"/>
            </w:tcMar>
            <w:vAlign w:val="center"/>
          </w:tcPr>
          <w:p>
            <w:pPr>
              <w:spacing w:line="560" w:lineRule="exact"/>
              <w:jc w:val="center"/>
              <w:rPr>
                <w:rFonts w:hint="eastAsia" w:ascii="仿宋_GB2312" w:hAnsi="仿宋_GB2312" w:eastAsia="仿宋_GB2312" w:cs="仿宋_GB2312"/>
                <w:color w:val="000000"/>
                <w:kern w:val="0"/>
                <w:szCs w:val="21"/>
                <w:lang w:val="en" w:eastAsia="zh-CN" w:bidi="ar"/>
              </w:rPr>
            </w:pPr>
            <w:r>
              <w:rPr>
                <w:rFonts w:hint="eastAsia" w:ascii="仿宋_GB2312" w:hAnsi="仿宋_GB2312" w:eastAsia="仿宋_GB2312" w:cs="仿宋_GB2312"/>
                <w:color w:val="000000"/>
                <w:kern w:val="0"/>
                <w:szCs w:val="21"/>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center"/>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bidi="ar"/>
              </w:rPr>
              <w:t> </w:t>
            </w: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spacing w:line="560" w:lineRule="exact"/>
              <w:jc w:val="center"/>
              <w:rPr>
                <w:rFonts w:hint="eastAsia" w:ascii="仿宋_GB2312" w:hAnsi="仿宋_GB2312" w:eastAsia="仿宋_GB2312" w:cs="仿宋_GB2312"/>
                <w:color w:val="000000"/>
                <w:kern w:val="0"/>
                <w:szCs w:val="21"/>
                <w:lang w:eastAsia="zh-CN" w:bidi="ar"/>
              </w:rPr>
            </w:pPr>
            <w:r>
              <w:rPr>
                <w:rFonts w:hint="eastAsia" w:ascii="仿宋_GB2312" w:hAnsi="仿宋_GB2312" w:eastAsia="仿宋_GB2312" w:cs="仿宋_GB2312"/>
                <w:color w:val="000000"/>
                <w:kern w:val="0"/>
                <w:szCs w:val="21"/>
                <w:lang w:val="en-US" w:eastAsia="zh-CN" w:bidi="ar"/>
              </w:rPr>
              <w:t>0</w:t>
            </w:r>
          </w:p>
        </w:tc>
        <w:tc>
          <w:tcPr>
            <w:tcW w:w="695"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hint="eastAsia" w:ascii="仿宋_GB2312" w:hAnsi="仿宋_GB2312" w:eastAsia="仿宋_GB2312" w:cs="仿宋_GB2312"/>
                <w:color w:val="000000"/>
                <w:kern w:val="0"/>
                <w:szCs w:val="21"/>
                <w:lang w:eastAsia="zh-CN" w:bidi="ar"/>
              </w:rPr>
            </w:pPr>
            <w:r>
              <w:rPr>
                <w:rFonts w:hint="eastAsia" w:ascii="仿宋_GB2312" w:hAnsi="仿宋_GB2312" w:eastAsia="仿宋_GB2312" w:cs="仿宋_GB2312"/>
                <w:color w:val="000000"/>
                <w:kern w:val="0"/>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restart"/>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三、本年度办理结果</w:t>
            </w:r>
          </w:p>
        </w:tc>
        <w:tc>
          <w:tcPr>
            <w:tcW w:w="4150" w:type="dxa"/>
            <w:gridSpan w:val="2"/>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（一）予以公开</w:t>
            </w:r>
          </w:p>
        </w:tc>
        <w:tc>
          <w:tcPr>
            <w:tcW w:w="699" w:type="dxa"/>
            <w:tcBorders>
              <w:top w:val="nil"/>
              <w:left w:val="nil"/>
              <w:bottom w:val="single" w:color="auto" w:sz="8" w:space="0"/>
              <w:right w:val="single" w:color="auto" w:sz="8" w:space="0"/>
            </w:tcBorders>
            <w:noWrap w:val="0"/>
            <w:tcMar>
              <w:left w:w="57" w:type="dxa"/>
              <w:right w:w="57" w:type="dxa"/>
            </w:tcMar>
            <w:vAlign w:val="center"/>
          </w:tcPr>
          <w:p>
            <w:pPr>
              <w:spacing w:line="560" w:lineRule="exact"/>
              <w:jc w:val="center"/>
              <w:rPr>
                <w:rFonts w:hint="eastAsia" w:ascii="仿宋_GB2312" w:hAnsi="仿宋_GB2312" w:eastAsia="仿宋_GB2312" w:cs="仿宋_GB2312"/>
                <w:color w:val="000000"/>
                <w:kern w:val="0"/>
                <w:szCs w:val="21"/>
                <w:lang w:val="en" w:eastAsia="zh-CN" w:bidi="ar"/>
              </w:rPr>
            </w:pPr>
            <w:r>
              <w:rPr>
                <w:rFonts w:hint="eastAsia" w:ascii="仿宋_GB2312" w:hAnsi="仿宋_GB2312" w:eastAsia="仿宋_GB2312" w:cs="仿宋_GB2312"/>
                <w:color w:val="000000"/>
                <w:kern w:val="0"/>
                <w:szCs w:val="21"/>
                <w:lang w:val="en-US" w:eastAsia="zh-CN" w:bidi="ar"/>
              </w:rPr>
              <w:t xml:space="preserve">6 </w:t>
            </w:r>
          </w:p>
        </w:tc>
        <w:tc>
          <w:tcPr>
            <w:tcW w:w="691" w:type="dxa"/>
            <w:tcBorders>
              <w:top w:val="nil"/>
              <w:left w:val="nil"/>
              <w:bottom w:val="single" w:color="auto" w:sz="8" w:space="0"/>
              <w:right w:val="single" w:color="auto" w:sz="8" w:space="0"/>
            </w:tcBorders>
            <w:noWrap w:val="0"/>
            <w:tcMar>
              <w:left w:w="57" w:type="dxa"/>
              <w:right w:w="57" w:type="dxa"/>
            </w:tcMar>
            <w:vAlign w:val="center"/>
          </w:tcPr>
          <w:p>
            <w:pPr>
              <w:spacing w:line="560" w:lineRule="exact"/>
              <w:jc w:val="center"/>
              <w:rPr>
                <w:rFonts w:hint="eastAsia" w:ascii="仿宋_GB2312" w:hAnsi="仿宋_GB2312" w:eastAsia="仿宋_GB2312" w:cs="仿宋_GB2312"/>
                <w:color w:val="000000"/>
                <w:kern w:val="0"/>
                <w:szCs w:val="21"/>
                <w:lang w:val="en" w:eastAsia="zh-CN" w:bidi="ar"/>
              </w:rPr>
            </w:pPr>
            <w:r>
              <w:rPr>
                <w:rFonts w:hint="eastAsia" w:ascii="仿宋_GB2312" w:hAnsi="仿宋_GB2312" w:eastAsia="仿宋_GB2312" w:cs="仿宋_GB2312"/>
                <w:color w:val="000000"/>
                <w:kern w:val="0"/>
                <w:szCs w:val="21"/>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95" w:type="dxa"/>
            <w:tcBorders>
              <w:top w:val="single" w:color="auto" w:sz="8" w:space="0"/>
              <w:left w:val="nil"/>
              <w:bottom w:val="single" w:color="auto" w:sz="8" w:space="0"/>
              <w:right w:val="single" w:color="auto" w:sz="8" w:space="0"/>
            </w:tcBorders>
            <w:noWrap w:val="0"/>
            <w:tcMar>
              <w:left w:w="57" w:type="dxa"/>
              <w:right w:w="57" w:type="dxa"/>
            </w:tcMar>
            <w:vAlign w:val="top"/>
          </w:tcPr>
          <w:p>
            <w:pPr>
              <w:spacing w:line="560" w:lineRule="exact"/>
              <w:jc w:val="center"/>
              <w:rPr>
                <w:rFonts w:hint="eastAsia" w:ascii="仿宋_GB2312" w:hAnsi="仿宋_GB2312" w:eastAsia="仿宋_GB2312" w:cs="仿宋_GB2312"/>
                <w:color w:val="000000"/>
                <w:kern w:val="0"/>
                <w:szCs w:val="21"/>
                <w:lang w:val="en" w:eastAsia="zh-CN" w:bidi="ar"/>
              </w:rPr>
            </w:pPr>
            <w:r>
              <w:rPr>
                <w:rFonts w:hint="eastAsia" w:ascii="仿宋_GB2312" w:hAnsi="仿宋_GB2312" w:eastAsia="仿宋_GB2312" w:cs="仿宋_GB2312"/>
                <w:color w:val="000000"/>
                <w:kern w:val="0"/>
                <w:szCs w:val="21"/>
                <w:lang w:val="en-US" w:eastAsia="zh-CN" w:bidi="ar"/>
              </w:rPr>
              <w:t>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spacing w:line="560" w:lineRule="exact"/>
              <w:rPr>
                <w:rFonts w:hint="eastAsia" w:ascii="宋体"/>
                <w:sz w:val="24"/>
              </w:rPr>
            </w:pPr>
          </w:p>
        </w:tc>
        <w:tc>
          <w:tcPr>
            <w:tcW w:w="4150" w:type="dxa"/>
            <w:gridSpan w:val="2"/>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（二）部分公开</w:t>
            </w:r>
            <w:r>
              <w:rPr>
                <w:rFonts w:ascii="楷体" w:hAnsi="楷体" w:eastAsia="楷体" w:cs="楷体"/>
                <w:kern w:val="0"/>
                <w:sz w:val="20"/>
                <w:szCs w:val="20"/>
                <w:lang w:bidi="ar"/>
              </w:rPr>
              <w:t>（区分处理的，只计这一情形，不计其他情形）</w:t>
            </w:r>
          </w:p>
        </w:tc>
        <w:tc>
          <w:tcPr>
            <w:tcW w:w="699" w:type="dxa"/>
            <w:tcBorders>
              <w:top w:val="nil"/>
              <w:left w:val="nil"/>
              <w:bottom w:val="single" w:color="auto" w:sz="8" w:space="0"/>
              <w:right w:val="single" w:color="auto" w:sz="8" w:space="0"/>
            </w:tcBorders>
            <w:noWrap w:val="0"/>
            <w:tcMar>
              <w:left w:w="57" w:type="dxa"/>
              <w:right w:w="57" w:type="dxa"/>
            </w:tcMar>
            <w:vAlign w:val="center"/>
          </w:tcPr>
          <w:p>
            <w:pPr>
              <w:spacing w:line="560" w:lineRule="exact"/>
              <w:jc w:val="center"/>
              <w:rPr>
                <w:rFonts w:hint="eastAsia" w:ascii="仿宋_GB2312" w:hAnsi="仿宋_GB2312" w:eastAsia="仿宋_GB2312" w:cs="仿宋_GB2312"/>
                <w:color w:val="000000"/>
                <w:kern w:val="0"/>
                <w:szCs w:val="21"/>
                <w:lang w:val="en" w:eastAsia="zh-CN" w:bidi="ar"/>
              </w:rPr>
            </w:pPr>
            <w:r>
              <w:rPr>
                <w:rFonts w:hint="eastAsia" w:ascii="仿宋_GB2312" w:hAnsi="仿宋_GB2312" w:eastAsia="仿宋_GB2312" w:cs="仿宋_GB2312"/>
                <w:color w:val="000000"/>
                <w:kern w:val="0"/>
                <w:szCs w:val="21"/>
                <w:lang w:val="en-US" w:eastAsia="zh-CN" w:bidi="ar"/>
              </w:rPr>
              <w:t xml:space="preserve">2 </w:t>
            </w:r>
          </w:p>
        </w:tc>
        <w:tc>
          <w:tcPr>
            <w:tcW w:w="691" w:type="dxa"/>
            <w:tcBorders>
              <w:top w:val="nil"/>
              <w:left w:val="nil"/>
              <w:bottom w:val="single" w:color="auto" w:sz="8" w:space="0"/>
              <w:right w:val="single" w:color="auto" w:sz="8" w:space="0"/>
            </w:tcBorders>
            <w:noWrap w:val="0"/>
            <w:tcMar>
              <w:left w:w="57" w:type="dxa"/>
              <w:right w:w="57" w:type="dxa"/>
            </w:tcMar>
            <w:vAlign w:val="center"/>
          </w:tcPr>
          <w:p>
            <w:pPr>
              <w:spacing w:line="560" w:lineRule="exact"/>
              <w:jc w:val="center"/>
              <w:rPr>
                <w:rFonts w:hint="eastAsia" w:ascii="仿宋_GB2312" w:hAnsi="仿宋_GB2312" w:eastAsia="仿宋_GB2312" w:cs="仿宋_GB2312"/>
                <w:color w:val="000000"/>
                <w:kern w:val="0"/>
                <w:szCs w:val="21"/>
                <w:lang w:val="en" w:eastAsia="zh-CN" w:bidi="ar"/>
              </w:rPr>
            </w:pPr>
            <w:r>
              <w:rPr>
                <w:rFonts w:hint="eastAsia" w:ascii="仿宋_GB2312" w:hAnsi="仿宋_GB2312" w:eastAsia="仿宋_GB2312" w:cs="仿宋_GB2312"/>
                <w:color w:val="000000"/>
                <w:kern w:val="0"/>
                <w:szCs w:val="21"/>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95" w:type="dxa"/>
            <w:tcBorders>
              <w:top w:val="nil"/>
              <w:left w:val="nil"/>
              <w:bottom w:val="single" w:color="auto" w:sz="8" w:space="0"/>
              <w:right w:val="single" w:color="auto" w:sz="8" w:space="0"/>
            </w:tcBorders>
            <w:noWrap w:val="0"/>
            <w:tcMar>
              <w:left w:w="57" w:type="dxa"/>
              <w:right w:w="57" w:type="dxa"/>
            </w:tcMar>
            <w:vAlign w:val="center"/>
          </w:tcPr>
          <w:p>
            <w:pPr>
              <w:spacing w:line="560" w:lineRule="exact"/>
              <w:jc w:val="center"/>
              <w:rPr>
                <w:rFonts w:hint="default"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val="en-US" w:eastAsia="zh-CN" w:bidi="ar"/>
              </w:rPr>
              <w:t xml:space="preserve"> 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spacing w:line="560" w:lineRule="exact"/>
              <w:rPr>
                <w:rFonts w:hint="eastAsia" w:ascii="宋体"/>
                <w:sz w:val="24"/>
              </w:rPr>
            </w:pPr>
          </w:p>
        </w:tc>
        <w:tc>
          <w:tcPr>
            <w:tcW w:w="942" w:type="dxa"/>
            <w:vMerge w:val="restart"/>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（三）不予公开</w:t>
            </w:r>
          </w:p>
        </w:tc>
        <w:tc>
          <w:tcPr>
            <w:tcW w:w="320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1.属于国家秘密</w:t>
            </w:r>
          </w:p>
        </w:tc>
        <w:tc>
          <w:tcPr>
            <w:tcW w:w="699"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hint="eastAsia" w:ascii="仿宋_GB2312" w:hAnsi="仿宋_GB2312" w:eastAsia="仿宋_GB2312" w:cs="仿宋_GB2312"/>
                <w:color w:val="000000"/>
                <w:kern w:val="0"/>
                <w:szCs w:val="21"/>
                <w:lang w:val="en" w:eastAsia="zh-CN" w:bidi="ar"/>
              </w:rPr>
            </w:pPr>
            <w:r>
              <w:rPr>
                <w:rFonts w:hint="eastAsia" w:ascii="仿宋_GB2312" w:hAnsi="仿宋_GB2312" w:eastAsia="仿宋_GB2312" w:cs="仿宋_GB2312"/>
                <w:color w:val="000000"/>
                <w:kern w:val="0"/>
                <w:szCs w:val="21"/>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95" w:type="dxa"/>
            <w:tcBorders>
              <w:top w:val="single" w:color="auto" w:sz="8" w:space="0"/>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hint="eastAsia" w:ascii="仿宋_GB2312" w:hAnsi="仿宋_GB2312" w:eastAsia="仿宋_GB2312" w:cs="仿宋_GB2312"/>
                <w:color w:val="000000"/>
                <w:kern w:val="0"/>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spacing w:line="560" w:lineRule="exact"/>
              <w:rPr>
                <w:rFonts w:hint="eastAsia" w:ascii="宋体"/>
                <w:sz w:val="24"/>
              </w:rPr>
            </w:pPr>
          </w:p>
        </w:tc>
        <w:tc>
          <w:tcPr>
            <w:tcW w:w="942"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spacing w:line="560" w:lineRule="exact"/>
              <w:rPr>
                <w:rFonts w:hint="eastAsia" w:ascii="宋体"/>
                <w:sz w:val="24"/>
              </w:rPr>
            </w:pPr>
          </w:p>
        </w:tc>
        <w:tc>
          <w:tcPr>
            <w:tcW w:w="320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2.其他法律行政法规禁止公开</w:t>
            </w:r>
          </w:p>
        </w:tc>
        <w:tc>
          <w:tcPr>
            <w:tcW w:w="699"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91"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95"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spacing w:line="560" w:lineRule="exact"/>
              <w:rPr>
                <w:rFonts w:hint="eastAsia" w:ascii="宋体"/>
                <w:sz w:val="24"/>
              </w:rPr>
            </w:pPr>
          </w:p>
        </w:tc>
        <w:tc>
          <w:tcPr>
            <w:tcW w:w="942"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spacing w:line="560" w:lineRule="exact"/>
              <w:rPr>
                <w:rFonts w:hint="eastAsia" w:ascii="宋体"/>
                <w:sz w:val="24"/>
              </w:rPr>
            </w:pPr>
          </w:p>
        </w:tc>
        <w:tc>
          <w:tcPr>
            <w:tcW w:w="320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3.危及“三安全一稳定”</w:t>
            </w:r>
          </w:p>
        </w:tc>
        <w:tc>
          <w:tcPr>
            <w:tcW w:w="699"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91"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95"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spacing w:line="560" w:lineRule="exact"/>
              <w:rPr>
                <w:rFonts w:hint="eastAsia" w:ascii="宋体"/>
                <w:sz w:val="24"/>
              </w:rPr>
            </w:pPr>
          </w:p>
        </w:tc>
        <w:tc>
          <w:tcPr>
            <w:tcW w:w="942"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spacing w:line="560" w:lineRule="exact"/>
              <w:rPr>
                <w:rFonts w:hint="eastAsia" w:ascii="宋体"/>
                <w:sz w:val="24"/>
              </w:rPr>
            </w:pPr>
          </w:p>
        </w:tc>
        <w:tc>
          <w:tcPr>
            <w:tcW w:w="320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4.保护第三方合法权益</w:t>
            </w:r>
          </w:p>
        </w:tc>
        <w:tc>
          <w:tcPr>
            <w:tcW w:w="699"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hint="eastAsia" w:ascii="仿宋_GB2312" w:hAnsi="仿宋_GB2312" w:eastAsia="仿宋_GB2312" w:cs="仿宋_GB2312"/>
                <w:color w:val="000000"/>
                <w:kern w:val="0"/>
                <w:szCs w:val="21"/>
                <w:lang w:val="en" w:eastAsia="zh-CN" w:bidi="ar"/>
              </w:rPr>
            </w:pPr>
            <w:r>
              <w:rPr>
                <w:rFonts w:hint="eastAsia" w:ascii="仿宋_GB2312" w:hAnsi="仿宋_GB2312" w:eastAsia="仿宋_GB2312" w:cs="仿宋_GB2312"/>
                <w:color w:val="000000"/>
                <w:kern w:val="0"/>
                <w:szCs w:val="21"/>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95"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hint="eastAsia" w:ascii="仿宋_GB2312" w:hAnsi="仿宋_GB2312" w:eastAsia="仿宋_GB2312" w:cs="仿宋_GB2312"/>
                <w:color w:val="000000"/>
                <w:kern w:val="0"/>
                <w:szCs w:val="21"/>
                <w:lang w:val="en" w:eastAsia="zh-CN" w:bidi="ar"/>
              </w:rPr>
            </w:pPr>
            <w:r>
              <w:rPr>
                <w:rFonts w:hint="eastAsia" w:ascii="仿宋_GB2312" w:hAnsi="仿宋_GB2312" w:eastAsia="仿宋_GB2312" w:cs="仿宋_GB2312"/>
                <w:color w:val="000000"/>
                <w:kern w:val="0"/>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spacing w:line="560" w:lineRule="exact"/>
              <w:rPr>
                <w:rFonts w:hint="eastAsia" w:ascii="宋体"/>
                <w:sz w:val="24"/>
              </w:rPr>
            </w:pPr>
          </w:p>
        </w:tc>
        <w:tc>
          <w:tcPr>
            <w:tcW w:w="942"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spacing w:line="560" w:lineRule="exact"/>
              <w:rPr>
                <w:rFonts w:hint="eastAsia" w:ascii="宋体"/>
                <w:sz w:val="24"/>
              </w:rPr>
            </w:pPr>
          </w:p>
        </w:tc>
        <w:tc>
          <w:tcPr>
            <w:tcW w:w="320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5.属于三类内部事务信息</w:t>
            </w:r>
          </w:p>
        </w:tc>
        <w:tc>
          <w:tcPr>
            <w:tcW w:w="699"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91"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95"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spacing w:line="560" w:lineRule="exact"/>
              <w:rPr>
                <w:rFonts w:hint="eastAsia" w:ascii="宋体"/>
                <w:sz w:val="24"/>
              </w:rPr>
            </w:pPr>
          </w:p>
        </w:tc>
        <w:tc>
          <w:tcPr>
            <w:tcW w:w="942"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spacing w:line="560" w:lineRule="exact"/>
              <w:rPr>
                <w:rFonts w:hint="eastAsia" w:ascii="宋体"/>
                <w:sz w:val="24"/>
              </w:rPr>
            </w:pPr>
          </w:p>
        </w:tc>
        <w:tc>
          <w:tcPr>
            <w:tcW w:w="320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6.属于四类过程性信息</w:t>
            </w:r>
          </w:p>
        </w:tc>
        <w:tc>
          <w:tcPr>
            <w:tcW w:w="699"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91"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bidi="ar"/>
              </w:rPr>
              <w:t> </w:t>
            </w: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95"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spacing w:line="560" w:lineRule="exact"/>
              <w:rPr>
                <w:rFonts w:hint="eastAsia" w:ascii="宋体"/>
                <w:sz w:val="24"/>
              </w:rPr>
            </w:pPr>
          </w:p>
        </w:tc>
        <w:tc>
          <w:tcPr>
            <w:tcW w:w="942"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spacing w:line="560" w:lineRule="exact"/>
              <w:rPr>
                <w:rFonts w:hint="eastAsia" w:ascii="宋体"/>
                <w:sz w:val="24"/>
              </w:rPr>
            </w:pPr>
          </w:p>
        </w:tc>
        <w:tc>
          <w:tcPr>
            <w:tcW w:w="320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7.属于行政执法案卷</w:t>
            </w:r>
          </w:p>
        </w:tc>
        <w:tc>
          <w:tcPr>
            <w:tcW w:w="699"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91"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95"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spacing w:line="560" w:lineRule="exact"/>
              <w:rPr>
                <w:rFonts w:hint="eastAsia" w:ascii="宋体"/>
                <w:sz w:val="24"/>
              </w:rPr>
            </w:pPr>
          </w:p>
        </w:tc>
        <w:tc>
          <w:tcPr>
            <w:tcW w:w="942"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spacing w:line="560" w:lineRule="exact"/>
              <w:rPr>
                <w:rFonts w:hint="eastAsia" w:ascii="宋体"/>
                <w:sz w:val="24"/>
              </w:rPr>
            </w:pPr>
          </w:p>
        </w:tc>
        <w:tc>
          <w:tcPr>
            <w:tcW w:w="320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8.属于行政查询事项</w:t>
            </w:r>
          </w:p>
        </w:tc>
        <w:tc>
          <w:tcPr>
            <w:tcW w:w="699"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hint="eastAsia" w:ascii="仿宋_GB2312" w:hAnsi="仿宋_GB2312" w:eastAsia="仿宋_GB2312" w:cs="仿宋_GB2312"/>
                <w:color w:val="000000"/>
                <w:kern w:val="0"/>
                <w:szCs w:val="21"/>
                <w:lang w:val="en" w:eastAsia="zh-CN" w:bidi="ar"/>
              </w:rPr>
            </w:pPr>
            <w:r>
              <w:rPr>
                <w:rFonts w:hint="eastAsia" w:ascii="仿宋_GB2312" w:hAnsi="仿宋_GB2312" w:eastAsia="仿宋_GB2312" w:cs="仿宋_GB2312"/>
                <w:color w:val="000000"/>
                <w:kern w:val="0"/>
                <w:szCs w:val="21"/>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95"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hint="eastAsia" w:ascii="仿宋_GB2312" w:hAnsi="仿宋_GB2312" w:eastAsia="仿宋_GB2312" w:cs="仿宋_GB2312"/>
                <w:color w:val="000000"/>
                <w:kern w:val="0"/>
                <w:szCs w:val="21"/>
                <w:lang w:val="en" w:eastAsia="zh-CN" w:bidi="ar"/>
              </w:rPr>
            </w:pPr>
            <w:r>
              <w:rPr>
                <w:rFonts w:hint="eastAsia" w:ascii="仿宋_GB2312" w:hAnsi="仿宋_GB2312" w:eastAsia="仿宋_GB2312" w:cs="仿宋_GB2312"/>
                <w:color w:val="000000"/>
                <w:kern w:val="0"/>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spacing w:line="560" w:lineRule="exact"/>
              <w:rPr>
                <w:rFonts w:hint="eastAsia" w:ascii="宋体"/>
                <w:sz w:val="24"/>
              </w:rPr>
            </w:pPr>
          </w:p>
        </w:tc>
        <w:tc>
          <w:tcPr>
            <w:tcW w:w="942" w:type="dxa"/>
            <w:vMerge w:val="restart"/>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（四）无法提供</w:t>
            </w:r>
          </w:p>
        </w:tc>
        <w:tc>
          <w:tcPr>
            <w:tcW w:w="320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1.本机关不掌握相关政府信息</w:t>
            </w:r>
          </w:p>
        </w:tc>
        <w:tc>
          <w:tcPr>
            <w:tcW w:w="699"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hint="eastAsia" w:ascii="仿宋_GB2312" w:hAnsi="仿宋_GB2312" w:eastAsia="仿宋_GB2312" w:cs="仿宋_GB2312"/>
                <w:color w:val="000000"/>
                <w:kern w:val="0"/>
                <w:szCs w:val="21"/>
                <w:lang w:val="en" w:eastAsia="zh-CN" w:bidi="ar"/>
              </w:rPr>
            </w:pPr>
            <w:r>
              <w:rPr>
                <w:rFonts w:hint="eastAsia" w:ascii="仿宋_GB2312" w:hAnsi="仿宋_GB2312" w:eastAsia="仿宋_GB2312" w:cs="仿宋_GB2312"/>
                <w:color w:val="000000"/>
                <w:kern w:val="0"/>
                <w:szCs w:val="21"/>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hint="eastAsia" w:ascii="仿宋_GB2312" w:hAnsi="仿宋_GB2312" w:eastAsia="仿宋_GB2312" w:cs="仿宋_GB2312"/>
                <w:color w:val="000000"/>
                <w:kern w:val="0"/>
                <w:szCs w:val="21"/>
                <w:lang w:val="en" w:eastAsia="zh-CN" w:bidi="ar"/>
              </w:rPr>
            </w:pPr>
            <w:r>
              <w:rPr>
                <w:rFonts w:hint="eastAsia" w:ascii="仿宋_GB2312" w:hAnsi="仿宋_GB2312" w:eastAsia="仿宋_GB2312" w:cs="仿宋_GB2312"/>
                <w:color w:val="000000"/>
                <w:kern w:val="0"/>
                <w:szCs w:val="21"/>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95"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hint="eastAsia" w:ascii="仿宋_GB2312" w:hAnsi="仿宋_GB2312" w:eastAsia="仿宋_GB2312" w:cs="仿宋_GB2312"/>
                <w:color w:val="000000"/>
                <w:kern w:val="0"/>
                <w:szCs w:val="21"/>
                <w:lang w:val="en" w:eastAsia="zh-CN" w:bidi="ar"/>
              </w:rPr>
            </w:pPr>
            <w:r>
              <w:rPr>
                <w:rFonts w:hint="eastAsia" w:ascii="仿宋_GB2312" w:hAnsi="仿宋_GB2312" w:eastAsia="仿宋_GB2312" w:cs="仿宋_GB2312"/>
                <w:color w:val="000000"/>
                <w:kern w:val="0"/>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spacing w:line="560" w:lineRule="exact"/>
              <w:rPr>
                <w:rFonts w:hint="eastAsia" w:ascii="宋体"/>
                <w:sz w:val="24"/>
              </w:rPr>
            </w:pPr>
          </w:p>
        </w:tc>
        <w:tc>
          <w:tcPr>
            <w:tcW w:w="942"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spacing w:line="560" w:lineRule="exact"/>
              <w:rPr>
                <w:rFonts w:hint="eastAsia" w:ascii="宋体"/>
                <w:sz w:val="24"/>
              </w:rPr>
            </w:pPr>
          </w:p>
        </w:tc>
        <w:tc>
          <w:tcPr>
            <w:tcW w:w="320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2.没有现成信息需要另行制作</w:t>
            </w:r>
          </w:p>
        </w:tc>
        <w:tc>
          <w:tcPr>
            <w:tcW w:w="699"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hint="eastAsia" w:ascii="仿宋_GB2312" w:hAnsi="仿宋_GB2312" w:eastAsia="仿宋_GB2312" w:cs="仿宋_GB2312"/>
                <w:color w:val="000000"/>
                <w:kern w:val="0"/>
                <w:szCs w:val="21"/>
                <w:lang w:val="en" w:eastAsia="zh-CN" w:bidi="ar"/>
              </w:rPr>
            </w:pPr>
            <w:r>
              <w:rPr>
                <w:rFonts w:hint="eastAsia" w:ascii="仿宋_GB2312" w:hAnsi="仿宋_GB2312" w:eastAsia="仿宋_GB2312" w:cs="仿宋_GB2312"/>
                <w:color w:val="000000"/>
                <w:kern w:val="0"/>
                <w:szCs w:val="21"/>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95"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hint="eastAsia" w:ascii="仿宋_GB2312" w:hAnsi="仿宋_GB2312" w:eastAsia="仿宋_GB2312" w:cs="仿宋_GB2312"/>
                <w:color w:val="000000"/>
                <w:kern w:val="0"/>
                <w:szCs w:val="21"/>
                <w:lang w:val="en" w:eastAsia="zh-CN" w:bidi="ar"/>
              </w:rPr>
            </w:pPr>
            <w:r>
              <w:rPr>
                <w:rFonts w:hint="eastAsia" w:ascii="仿宋_GB2312" w:hAnsi="仿宋_GB2312" w:eastAsia="仿宋_GB2312" w:cs="仿宋_GB2312"/>
                <w:color w:val="000000"/>
                <w:kern w:val="0"/>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spacing w:line="560" w:lineRule="exact"/>
              <w:rPr>
                <w:rFonts w:hint="eastAsia" w:ascii="宋体"/>
                <w:sz w:val="24"/>
              </w:rPr>
            </w:pPr>
          </w:p>
        </w:tc>
        <w:tc>
          <w:tcPr>
            <w:tcW w:w="942"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spacing w:line="560" w:lineRule="exact"/>
              <w:rPr>
                <w:rFonts w:hint="eastAsia" w:ascii="宋体"/>
                <w:sz w:val="24"/>
              </w:rPr>
            </w:pPr>
          </w:p>
        </w:tc>
        <w:tc>
          <w:tcPr>
            <w:tcW w:w="320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3.补正后申请内容仍不明确</w:t>
            </w:r>
          </w:p>
        </w:tc>
        <w:tc>
          <w:tcPr>
            <w:tcW w:w="699"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91"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95"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spacing w:line="560" w:lineRule="exact"/>
              <w:rPr>
                <w:rFonts w:hint="eastAsia" w:ascii="宋体"/>
                <w:sz w:val="24"/>
              </w:rPr>
            </w:pPr>
          </w:p>
        </w:tc>
        <w:tc>
          <w:tcPr>
            <w:tcW w:w="942" w:type="dxa"/>
            <w:vMerge w:val="restart"/>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（五）不予处理</w:t>
            </w:r>
          </w:p>
        </w:tc>
        <w:tc>
          <w:tcPr>
            <w:tcW w:w="320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1.信访举报投诉类申请</w:t>
            </w:r>
          </w:p>
        </w:tc>
        <w:tc>
          <w:tcPr>
            <w:tcW w:w="699"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hint="eastAsia" w:ascii="仿宋_GB2312" w:hAnsi="仿宋_GB2312" w:eastAsia="仿宋_GB2312" w:cs="仿宋_GB2312"/>
                <w:color w:val="000000"/>
                <w:kern w:val="0"/>
                <w:szCs w:val="21"/>
                <w:lang w:val="en" w:eastAsia="zh-CN" w:bidi="ar"/>
              </w:rPr>
            </w:pPr>
            <w:r>
              <w:rPr>
                <w:rFonts w:hint="eastAsia" w:ascii="仿宋_GB2312" w:hAnsi="仿宋_GB2312" w:eastAsia="仿宋_GB2312" w:cs="仿宋_GB2312"/>
                <w:color w:val="000000"/>
                <w:kern w:val="0"/>
                <w:szCs w:val="21"/>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95"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hint="eastAsia" w:ascii="仿宋_GB2312" w:hAnsi="仿宋_GB2312" w:eastAsia="仿宋_GB2312" w:cs="仿宋_GB2312"/>
                <w:color w:val="000000"/>
                <w:kern w:val="0"/>
                <w:szCs w:val="21"/>
                <w:lang w:val="en" w:eastAsia="zh-CN" w:bidi="ar"/>
              </w:rPr>
            </w:pPr>
            <w:r>
              <w:rPr>
                <w:rFonts w:hint="eastAsia" w:ascii="仿宋_GB2312" w:hAnsi="仿宋_GB2312" w:eastAsia="仿宋_GB2312" w:cs="仿宋_GB2312"/>
                <w:color w:val="000000"/>
                <w:kern w:val="0"/>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spacing w:line="560" w:lineRule="exact"/>
              <w:rPr>
                <w:rFonts w:hint="eastAsia" w:ascii="宋体"/>
                <w:sz w:val="24"/>
              </w:rPr>
            </w:pPr>
          </w:p>
        </w:tc>
        <w:tc>
          <w:tcPr>
            <w:tcW w:w="942"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spacing w:line="560" w:lineRule="exact"/>
              <w:rPr>
                <w:rFonts w:hint="eastAsia" w:ascii="宋体"/>
                <w:sz w:val="24"/>
              </w:rPr>
            </w:pPr>
          </w:p>
        </w:tc>
        <w:tc>
          <w:tcPr>
            <w:tcW w:w="320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2.重复申请</w:t>
            </w:r>
          </w:p>
        </w:tc>
        <w:tc>
          <w:tcPr>
            <w:tcW w:w="699"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hint="eastAsia" w:ascii="仿宋_GB2312" w:hAnsi="仿宋_GB2312" w:eastAsia="仿宋_GB2312" w:cs="仿宋_GB2312"/>
                <w:color w:val="000000"/>
                <w:kern w:val="0"/>
                <w:szCs w:val="21"/>
                <w:lang w:val="en" w:eastAsia="zh-CN" w:bidi="ar"/>
              </w:rPr>
            </w:pPr>
            <w:r>
              <w:rPr>
                <w:rFonts w:hint="eastAsia" w:ascii="仿宋_GB2312" w:hAnsi="仿宋_GB2312" w:eastAsia="仿宋_GB2312" w:cs="仿宋_GB2312"/>
                <w:color w:val="000000"/>
                <w:kern w:val="0"/>
                <w:szCs w:val="21"/>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95"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hint="eastAsia" w:ascii="仿宋_GB2312" w:hAnsi="仿宋_GB2312" w:eastAsia="仿宋_GB2312" w:cs="仿宋_GB2312"/>
                <w:color w:val="000000"/>
                <w:kern w:val="0"/>
                <w:szCs w:val="21"/>
                <w:lang w:val="en" w:eastAsia="zh-CN" w:bidi="ar"/>
              </w:rPr>
            </w:pPr>
            <w:r>
              <w:rPr>
                <w:rFonts w:hint="eastAsia" w:ascii="仿宋_GB2312" w:hAnsi="仿宋_GB2312" w:eastAsia="仿宋_GB2312" w:cs="仿宋_GB2312"/>
                <w:color w:val="000000"/>
                <w:kern w:val="0"/>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spacing w:line="560" w:lineRule="exact"/>
              <w:rPr>
                <w:rFonts w:hint="eastAsia" w:ascii="宋体"/>
                <w:sz w:val="24"/>
              </w:rPr>
            </w:pPr>
          </w:p>
        </w:tc>
        <w:tc>
          <w:tcPr>
            <w:tcW w:w="942"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spacing w:line="560" w:lineRule="exact"/>
              <w:rPr>
                <w:rFonts w:hint="eastAsia" w:ascii="宋体"/>
                <w:sz w:val="24"/>
              </w:rPr>
            </w:pPr>
          </w:p>
        </w:tc>
        <w:tc>
          <w:tcPr>
            <w:tcW w:w="320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3.要求提供公开出版物</w:t>
            </w:r>
          </w:p>
        </w:tc>
        <w:tc>
          <w:tcPr>
            <w:tcW w:w="699"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91"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95"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spacing w:line="560" w:lineRule="exact"/>
              <w:rPr>
                <w:rFonts w:hint="eastAsia" w:ascii="宋体"/>
                <w:sz w:val="24"/>
              </w:rPr>
            </w:pPr>
          </w:p>
        </w:tc>
        <w:tc>
          <w:tcPr>
            <w:tcW w:w="942"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spacing w:line="560" w:lineRule="exact"/>
              <w:rPr>
                <w:rFonts w:hint="eastAsia" w:ascii="宋体"/>
                <w:sz w:val="24"/>
              </w:rPr>
            </w:pPr>
          </w:p>
        </w:tc>
        <w:tc>
          <w:tcPr>
            <w:tcW w:w="320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4.无正当理由大量反复申请</w:t>
            </w:r>
          </w:p>
        </w:tc>
        <w:tc>
          <w:tcPr>
            <w:tcW w:w="699"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91"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95"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5"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spacing w:line="560" w:lineRule="exact"/>
              <w:rPr>
                <w:rFonts w:hint="eastAsia" w:ascii="宋体"/>
                <w:sz w:val="24"/>
              </w:rPr>
            </w:pPr>
          </w:p>
        </w:tc>
        <w:tc>
          <w:tcPr>
            <w:tcW w:w="942"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spacing w:line="560" w:lineRule="exact"/>
              <w:rPr>
                <w:rFonts w:hint="eastAsia" w:ascii="宋体"/>
                <w:sz w:val="24"/>
              </w:rPr>
            </w:pPr>
          </w:p>
        </w:tc>
        <w:tc>
          <w:tcPr>
            <w:tcW w:w="320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widowControl/>
              <w:spacing w:line="560" w:lineRule="exact"/>
            </w:pPr>
            <w:r>
              <w:rPr>
                <w:rFonts w:hint="eastAsia" w:ascii="宋体" w:hAnsi="宋体" w:cs="宋体"/>
                <w:kern w:val="0"/>
                <w:sz w:val="20"/>
                <w:szCs w:val="20"/>
                <w:lang w:bidi="ar"/>
              </w:rPr>
              <w:t>5.要求行政机关确认或重新出具已获取信息</w:t>
            </w:r>
          </w:p>
        </w:tc>
        <w:tc>
          <w:tcPr>
            <w:tcW w:w="699"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91"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95"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spacing w:line="560" w:lineRule="exact"/>
              <w:rPr>
                <w:rFonts w:hint="eastAsia" w:ascii="宋体"/>
                <w:sz w:val="24"/>
              </w:rPr>
            </w:pPr>
          </w:p>
        </w:tc>
        <w:tc>
          <w:tcPr>
            <w:tcW w:w="942" w:type="dxa"/>
            <w:vMerge w:val="restart"/>
            <w:tcBorders>
              <w:top w:val="outset" w:color="auto" w:sz="8" w:space="0"/>
              <w:left w:val="single" w:color="auto" w:sz="0" w:space="0"/>
              <w:bottom w:val="outset" w:color="auto" w:sz="8" w:space="0"/>
              <w:right w:val="single" w:color="auto" w:sz="8" w:space="0"/>
            </w:tcBorders>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（六）其他处理</w:t>
            </w:r>
          </w:p>
        </w:tc>
        <w:tc>
          <w:tcPr>
            <w:tcW w:w="320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pPr>
            <w:r>
              <w:rPr>
                <w:rFonts w:hint="eastAsia" w:ascii="宋体" w:hAnsi="宋体" w:cs="宋体"/>
                <w:kern w:val="0"/>
                <w:sz w:val="20"/>
                <w:szCs w:val="20"/>
                <w:lang w:bidi="ar"/>
              </w:rPr>
              <w:t>1.申请人无正当理由逾期不补正、行政机关不再处理其政府信息公开申请</w:t>
            </w:r>
          </w:p>
        </w:tc>
        <w:tc>
          <w:tcPr>
            <w:tcW w:w="699" w:type="dxa"/>
            <w:tcBorders>
              <w:top w:val="nil"/>
              <w:left w:val="nil"/>
              <w:bottom w:val="single" w:color="auto" w:sz="8" w:space="0"/>
              <w:right w:val="single" w:color="auto" w:sz="8" w:space="0"/>
            </w:tcBorders>
            <w:noWrap w:val="0"/>
            <w:tcMar>
              <w:left w:w="57" w:type="dxa"/>
              <w:right w:w="57" w:type="dxa"/>
            </w:tcMar>
            <w:vAlign w:val="center"/>
          </w:tcPr>
          <w:p>
            <w:pPr>
              <w:spacing w:line="560" w:lineRule="exact"/>
              <w:jc w:val="center"/>
              <w:rPr>
                <w:rFonts w:hint="eastAsia" w:ascii="仿宋_GB2312" w:hAnsi="仿宋_GB2312" w:eastAsia="仿宋_GB2312" w:cs="仿宋_GB2312"/>
                <w:color w:val="000000"/>
                <w:kern w:val="0"/>
                <w:szCs w:val="21"/>
                <w:lang w:val="en" w:eastAsia="zh-CN" w:bidi="ar"/>
              </w:rPr>
            </w:pPr>
            <w:r>
              <w:rPr>
                <w:rFonts w:hint="eastAsia" w:ascii="仿宋_GB2312" w:hAnsi="仿宋_GB2312" w:eastAsia="仿宋_GB2312" w:cs="仿宋_GB2312"/>
                <w:color w:val="000000"/>
                <w:kern w:val="0"/>
                <w:szCs w:val="21"/>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center"/>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95" w:type="dxa"/>
            <w:tcBorders>
              <w:top w:val="nil"/>
              <w:left w:val="nil"/>
              <w:bottom w:val="single" w:color="auto" w:sz="8" w:space="0"/>
              <w:right w:val="single" w:color="auto" w:sz="8" w:space="0"/>
            </w:tcBorders>
            <w:noWrap w:val="0"/>
            <w:tcMar>
              <w:left w:w="57" w:type="dxa"/>
              <w:right w:w="57" w:type="dxa"/>
            </w:tcMar>
            <w:vAlign w:val="center"/>
          </w:tcPr>
          <w:p>
            <w:pPr>
              <w:spacing w:line="560" w:lineRule="exact"/>
              <w:jc w:val="center"/>
              <w:rPr>
                <w:rFonts w:hint="eastAsia" w:ascii="仿宋_GB2312" w:hAnsi="仿宋_GB2312" w:eastAsia="仿宋_GB2312" w:cs="仿宋_GB2312"/>
                <w:color w:val="000000"/>
                <w:kern w:val="0"/>
                <w:szCs w:val="21"/>
                <w:lang w:val="en" w:eastAsia="zh-CN" w:bidi="ar"/>
              </w:rPr>
            </w:pPr>
            <w:r>
              <w:rPr>
                <w:rFonts w:hint="eastAsia" w:ascii="仿宋_GB2312" w:hAnsi="仿宋_GB2312" w:eastAsia="仿宋_GB2312" w:cs="仿宋_GB2312"/>
                <w:color w:val="000000"/>
                <w:kern w:val="0"/>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spacing w:line="560" w:lineRule="exact"/>
              <w:rPr>
                <w:rFonts w:hint="eastAsia" w:ascii="宋体"/>
                <w:sz w:val="24"/>
              </w:rPr>
            </w:pPr>
          </w:p>
        </w:tc>
        <w:tc>
          <w:tcPr>
            <w:tcW w:w="942" w:type="dxa"/>
            <w:vMerge w:val="continue"/>
            <w:tcBorders>
              <w:top w:val="outset" w:color="auto" w:sz="8" w:space="0"/>
              <w:left w:val="single" w:color="auto" w:sz="0" w:space="0"/>
              <w:bottom w:val="outset" w:color="auto" w:sz="8" w:space="0"/>
              <w:right w:val="single" w:color="auto" w:sz="8" w:space="0"/>
            </w:tcBorders>
            <w:noWrap w:val="0"/>
            <w:tcMar>
              <w:left w:w="57" w:type="dxa"/>
              <w:right w:w="57" w:type="dxa"/>
            </w:tcMar>
            <w:vAlign w:val="center"/>
          </w:tcPr>
          <w:p>
            <w:pPr>
              <w:spacing w:line="560" w:lineRule="exact"/>
              <w:rPr>
                <w:rFonts w:hint="eastAsia" w:ascii="宋体"/>
                <w:sz w:val="24"/>
              </w:rPr>
            </w:pPr>
          </w:p>
        </w:tc>
        <w:tc>
          <w:tcPr>
            <w:tcW w:w="320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pPr>
            <w:r>
              <w:rPr>
                <w:rFonts w:hint="eastAsia" w:ascii="宋体" w:hAnsi="宋体" w:cs="宋体"/>
                <w:kern w:val="0"/>
                <w:sz w:val="20"/>
                <w:szCs w:val="20"/>
                <w:lang w:bidi="ar"/>
              </w:rPr>
              <w:t>2.申请人逾期未按收费通知要求缴纳费用、行政机关不再处理其政府信息公开申请</w:t>
            </w:r>
          </w:p>
        </w:tc>
        <w:tc>
          <w:tcPr>
            <w:tcW w:w="699" w:type="dxa"/>
            <w:tcBorders>
              <w:top w:val="nil"/>
              <w:left w:val="nil"/>
              <w:bottom w:val="single" w:color="auto" w:sz="8" w:space="0"/>
              <w:right w:val="single" w:color="auto" w:sz="8" w:space="0"/>
            </w:tcBorders>
            <w:noWrap w:val="0"/>
            <w:tcMar>
              <w:left w:w="57" w:type="dxa"/>
              <w:right w:w="57" w:type="dxa"/>
            </w:tcMar>
            <w:vAlign w:val="center"/>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91" w:type="dxa"/>
            <w:tcBorders>
              <w:top w:val="nil"/>
              <w:left w:val="nil"/>
              <w:bottom w:val="single" w:color="auto" w:sz="8" w:space="0"/>
              <w:right w:val="single" w:color="auto" w:sz="8" w:space="0"/>
            </w:tcBorders>
            <w:noWrap w:val="0"/>
            <w:tcMar>
              <w:left w:w="57" w:type="dxa"/>
              <w:right w:w="57" w:type="dxa"/>
            </w:tcMar>
            <w:vAlign w:val="center"/>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95" w:type="dxa"/>
            <w:tcBorders>
              <w:top w:val="nil"/>
              <w:left w:val="nil"/>
              <w:bottom w:val="single" w:color="auto" w:sz="8" w:space="0"/>
              <w:right w:val="single" w:color="auto" w:sz="8" w:space="0"/>
            </w:tcBorders>
            <w:noWrap w:val="0"/>
            <w:tcMar>
              <w:left w:w="57" w:type="dxa"/>
              <w:right w:w="57" w:type="dxa"/>
            </w:tcMar>
            <w:vAlign w:val="center"/>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spacing w:line="560" w:lineRule="exact"/>
              <w:rPr>
                <w:rFonts w:hint="eastAsia" w:ascii="宋体"/>
                <w:sz w:val="24"/>
              </w:rPr>
            </w:pPr>
          </w:p>
        </w:tc>
        <w:tc>
          <w:tcPr>
            <w:tcW w:w="942" w:type="dxa"/>
            <w:vMerge w:val="continue"/>
            <w:tcBorders>
              <w:top w:val="outset" w:color="auto" w:sz="8" w:space="0"/>
              <w:left w:val="single" w:color="auto" w:sz="0" w:space="0"/>
              <w:bottom w:val="outset" w:color="auto" w:sz="8" w:space="0"/>
              <w:right w:val="single" w:color="auto" w:sz="8" w:space="0"/>
            </w:tcBorders>
            <w:noWrap w:val="0"/>
            <w:tcMar>
              <w:left w:w="57" w:type="dxa"/>
              <w:right w:w="57" w:type="dxa"/>
            </w:tcMar>
            <w:vAlign w:val="center"/>
          </w:tcPr>
          <w:p>
            <w:pPr>
              <w:spacing w:line="560" w:lineRule="exact"/>
              <w:rPr>
                <w:rFonts w:hint="eastAsia" w:ascii="宋体"/>
                <w:sz w:val="24"/>
              </w:rPr>
            </w:pPr>
          </w:p>
        </w:tc>
        <w:tc>
          <w:tcPr>
            <w:tcW w:w="320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3.其他</w:t>
            </w:r>
          </w:p>
        </w:tc>
        <w:tc>
          <w:tcPr>
            <w:tcW w:w="699" w:type="dxa"/>
            <w:tcBorders>
              <w:top w:val="nil"/>
              <w:left w:val="nil"/>
              <w:bottom w:val="single" w:color="auto" w:sz="8" w:space="0"/>
              <w:right w:val="single" w:color="auto" w:sz="8" w:space="0"/>
            </w:tcBorders>
            <w:noWrap w:val="0"/>
            <w:tcMar>
              <w:left w:w="57" w:type="dxa"/>
              <w:right w:w="57" w:type="dxa"/>
            </w:tcMar>
            <w:vAlign w:val="center"/>
          </w:tcPr>
          <w:p>
            <w:pPr>
              <w:spacing w:line="560" w:lineRule="exact"/>
              <w:jc w:val="center"/>
              <w:rPr>
                <w:rFonts w:hint="eastAsia" w:ascii="仿宋_GB2312" w:hAnsi="仿宋_GB2312" w:eastAsia="仿宋_GB2312" w:cs="仿宋_GB2312"/>
                <w:color w:val="000000"/>
                <w:kern w:val="0"/>
                <w:szCs w:val="21"/>
                <w:lang w:val="en" w:eastAsia="zh-CN" w:bidi="ar"/>
              </w:rPr>
            </w:pPr>
            <w:r>
              <w:rPr>
                <w:rFonts w:hint="eastAsia" w:ascii="仿宋_GB2312" w:hAnsi="仿宋_GB2312" w:eastAsia="仿宋_GB2312" w:cs="仿宋_GB2312"/>
                <w:color w:val="000000"/>
                <w:kern w:val="0"/>
                <w:szCs w:val="21"/>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center"/>
          </w:tcPr>
          <w:p>
            <w:pPr>
              <w:spacing w:line="560" w:lineRule="exact"/>
              <w:jc w:val="center"/>
              <w:rPr>
                <w:rFonts w:hint="eastAsia" w:ascii="仿宋_GB2312" w:hAnsi="仿宋_GB2312" w:eastAsia="仿宋_GB2312" w:cs="仿宋_GB2312"/>
                <w:color w:val="000000"/>
                <w:kern w:val="0"/>
                <w:szCs w:val="21"/>
                <w:lang w:val="en" w:eastAsia="zh-CN" w:bidi="ar"/>
              </w:rPr>
            </w:pPr>
            <w:r>
              <w:rPr>
                <w:rFonts w:hint="eastAsia" w:ascii="仿宋_GB2312" w:hAnsi="仿宋_GB2312" w:eastAsia="仿宋_GB2312" w:cs="仿宋_GB2312"/>
                <w:color w:val="000000"/>
                <w:kern w:val="0"/>
                <w:szCs w:val="21"/>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spacing w:line="560" w:lineRule="exact"/>
              <w:jc w:val="center"/>
              <w:rPr>
                <w:rFonts w:hint="eastAsia" w:ascii="仿宋_GB2312" w:hAnsi="仿宋_GB2312" w:eastAsia="仿宋_GB2312" w:cs="仿宋_GB2312"/>
                <w:kern w:val="0"/>
                <w:szCs w:val="21"/>
                <w:lang w:eastAsia="zh-CN" w:bidi="ar"/>
              </w:rPr>
            </w:pPr>
            <w:r>
              <w:rPr>
                <w:rFonts w:hint="eastAsia" w:ascii="仿宋_GB2312" w:hAnsi="仿宋_GB2312" w:eastAsia="仿宋_GB2312" w:cs="仿宋_GB2312"/>
                <w:kern w:val="0"/>
                <w:szCs w:val="21"/>
                <w:lang w:val="en-US" w:eastAsia="zh-CN" w:bidi="ar"/>
              </w:rPr>
              <w:t>0</w:t>
            </w:r>
          </w:p>
        </w:tc>
        <w:tc>
          <w:tcPr>
            <w:tcW w:w="695"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hint="eastAsia" w:ascii="仿宋_GB2312" w:hAnsi="仿宋_GB2312" w:eastAsia="仿宋_GB2312" w:cs="仿宋_GB2312"/>
                <w:kern w:val="0"/>
                <w:szCs w:val="21"/>
                <w:lang w:eastAsia="zh-CN" w:bidi="ar"/>
              </w:rPr>
            </w:pPr>
            <w:r>
              <w:rPr>
                <w:rFonts w:hint="eastAsia" w:ascii="仿宋_GB2312" w:hAnsi="仿宋_GB2312" w:eastAsia="仿宋_GB2312" w:cs="仿宋_GB2312"/>
                <w:kern w:val="0"/>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spacing w:line="560" w:lineRule="exact"/>
              <w:rPr>
                <w:rFonts w:hint="eastAsia" w:ascii="宋体"/>
                <w:sz w:val="24"/>
              </w:rPr>
            </w:pPr>
          </w:p>
        </w:tc>
        <w:tc>
          <w:tcPr>
            <w:tcW w:w="4150" w:type="dxa"/>
            <w:gridSpan w:val="2"/>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（七）总计</w:t>
            </w:r>
          </w:p>
        </w:tc>
        <w:tc>
          <w:tcPr>
            <w:tcW w:w="699" w:type="dxa"/>
            <w:tcBorders>
              <w:top w:val="nil"/>
              <w:left w:val="nil"/>
              <w:bottom w:val="single" w:color="auto" w:sz="8" w:space="0"/>
              <w:right w:val="single" w:color="auto" w:sz="8" w:space="0"/>
            </w:tcBorders>
            <w:noWrap w:val="0"/>
            <w:tcMar>
              <w:left w:w="57" w:type="dxa"/>
              <w:right w:w="57" w:type="dxa"/>
            </w:tcMar>
            <w:vAlign w:val="center"/>
          </w:tcPr>
          <w:p>
            <w:pPr>
              <w:spacing w:line="560" w:lineRule="exact"/>
              <w:jc w:val="center"/>
              <w:rPr>
                <w:rFonts w:hint="default"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val="en-US" w:eastAsia="zh-CN" w:bidi="ar"/>
              </w:rPr>
              <w:t xml:space="preserve"> 8</w:t>
            </w:r>
          </w:p>
        </w:tc>
        <w:tc>
          <w:tcPr>
            <w:tcW w:w="691" w:type="dxa"/>
            <w:tcBorders>
              <w:top w:val="nil"/>
              <w:left w:val="nil"/>
              <w:bottom w:val="single" w:color="auto" w:sz="8" w:space="0"/>
              <w:right w:val="single" w:color="auto" w:sz="8" w:space="0"/>
            </w:tcBorders>
            <w:noWrap w:val="0"/>
            <w:tcMar>
              <w:left w:w="57" w:type="dxa"/>
              <w:right w:w="57" w:type="dxa"/>
            </w:tcMar>
            <w:vAlign w:val="center"/>
          </w:tcPr>
          <w:p>
            <w:pPr>
              <w:spacing w:line="560" w:lineRule="exact"/>
              <w:jc w:val="center"/>
              <w:rPr>
                <w:rFonts w:hint="eastAsia" w:ascii="仿宋_GB2312" w:hAnsi="仿宋_GB2312" w:eastAsia="仿宋_GB2312" w:cs="仿宋_GB2312"/>
                <w:color w:val="000000"/>
                <w:kern w:val="0"/>
                <w:szCs w:val="21"/>
                <w:lang w:val="en" w:eastAsia="zh-CN" w:bidi="ar"/>
              </w:rPr>
            </w:pPr>
            <w:r>
              <w:rPr>
                <w:rFonts w:hint="eastAsia" w:ascii="仿宋_GB2312" w:hAnsi="仿宋_GB2312" w:eastAsia="仿宋_GB2312" w:cs="仿宋_GB2312"/>
                <w:color w:val="000000"/>
                <w:kern w:val="0"/>
                <w:szCs w:val="21"/>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spacing w:line="560" w:lineRule="exact"/>
              <w:jc w:val="center"/>
              <w:rPr>
                <w:rFonts w:hint="eastAsia" w:ascii="仿宋_GB2312" w:hAnsi="仿宋_GB2312" w:eastAsia="仿宋_GB2312" w:cs="仿宋_GB2312"/>
                <w:kern w:val="0"/>
                <w:szCs w:val="21"/>
                <w:lang w:eastAsia="zh-CN" w:bidi="ar"/>
              </w:rPr>
            </w:pPr>
            <w:r>
              <w:rPr>
                <w:rFonts w:hint="eastAsia" w:ascii="仿宋_GB2312" w:hAnsi="仿宋_GB2312" w:eastAsia="仿宋_GB2312" w:cs="仿宋_GB2312"/>
                <w:kern w:val="0"/>
                <w:szCs w:val="21"/>
                <w:lang w:val="en-US" w:eastAsia="zh-CN" w:bidi="ar"/>
              </w:rPr>
              <w:t>0</w:t>
            </w:r>
          </w:p>
        </w:tc>
        <w:tc>
          <w:tcPr>
            <w:tcW w:w="695"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hint="eastAsia" w:ascii="仿宋_GB2312" w:hAnsi="仿宋_GB2312" w:eastAsia="仿宋_GB2312" w:cs="仿宋_GB2312"/>
                <w:kern w:val="0"/>
                <w:szCs w:val="21"/>
                <w:lang w:eastAsia="zh-CN" w:bidi="ar"/>
              </w:rPr>
            </w:pPr>
            <w:r>
              <w:rPr>
                <w:rFonts w:hint="eastAsia" w:ascii="仿宋_GB2312" w:hAnsi="仿宋_GB2312" w:eastAsia="仿宋_GB2312" w:cs="仿宋_GB2312"/>
                <w:kern w:val="0"/>
                <w:szCs w:val="21"/>
                <w:lang w:val="en-US" w:eastAsia="zh-CN" w:bidi="ar"/>
              </w:rPr>
              <w:t xml:space="preserve">8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15"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四、结转下年度继续办理</w:t>
            </w:r>
          </w:p>
        </w:tc>
        <w:tc>
          <w:tcPr>
            <w:tcW w:w="699" w:type="dxa"/>
            <w:tcBorders>
              <w:top w:val="nil"/>
              <w:left w:val="nil"/>
              <w:bottom w:val="single" w:color="auto" w:sz="8" w:space="0"/>
              <w:right w:val="single" w:color="auto" w:sz="8" w:space="0"/>
            </w:tcBorders>
            <w:noWrap w:val="0"/>
            <w:tcMar>
              <w:left w:w="57" w:type="dxa"/>
              <w:right w:w="57" w:type="dxa"/>
            </w:tcMar>
            <w:vAlign w:val="center"/>
          </w:tcPr>
          <w:p>
            <w:pPr>
              <w:spacing w:line="560" w:lineRule="exact"/>
              <w:jc w:val="center"/>
              <w:rPr>
                <w:rFonts w:hint="eastAsia" w:ascii="仿宋_GB2312" w:hAnsi="仿宋_GB2312" w:eastAsia="仿宋_GB2312" w:cs="仿宋_GB2312"/>
                <w:color w:val="000000"/>
                <w:kern w:val="0"/>
                <w:szCs w:val="21"/>
                <w:lang w:val="en" w:eastAsia="zh-CN" w:bidi="ar"/>
              </w:rPr>
            </w:pPr>
            <w:r>
              <w:rPr>
                <w:rFonts w:hint="eastAsia" w:ascii="仿宋_GB2312" w:hAnsi="仿宋_GB2312" w:eastAsia="仿宋_GB2312" w:cs="仿宋_GB2312"/>
                <w:color w:val="000000"/>
                <w:kern w:val="0"/>
                <w:szCs w:val="21"/>
                <w:lang w:val="en-US" w:eastAsia="zh-CN" w:bidi="ar"/>
              </w:rPr>
              <w:t>3</w:t>
            </w:r>
          </w:p>
        </w:tc>
        <w:tc>
          <w:tcPr>
            <w:tcW w:w="691" w:type="dxa"/>
            <w:tcBorders>
              <w:top w:val="nil"/>
              <w:left w:val="nil"/>
              <w:bottom w:val="single" w:color="auto" w:sz="8" w:space="0"/>
              <w:right w:val="single" w:color="auto" w:sz="8" w:space="0"/>
            </w:tcBorders>
            <w:noWrap w:val="0"/>
            <w:tcMar>
              <w:left w:w="57" w:type="dxa"/>
              <w:right w:w="57" w:type="dxa"/>
            </w:tcMar>
            <w:vAlign w:val="center"/>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95" w:type="dxa"/>
            <w:tcBorders>
              <w:top w:val="nil"/>
              <w:left w:val="nil"/>
              <w:bottom w:val="single" w:color="auto" w:sz="8" w:space="0"/>
              <w:right w:val="single" w:color="auto" w:sz="8" w:space="0"/>
            </w:tcBorders>
            <w:noWrap w:val="0"/>
            <w:tcMar>
              <w:left w:w="57" w:type="dxa"/>
              <w:right w:w="57" w:type="dxa"/>
            </w:tcMar>
            <w:vAlign w:val="top"/>
          </w:tcPr>
          <w:p>
            <w:pPr>
              <w:spacing w:line="560" w:lineRule="exact"/>
              <w:jc w:val="center"/>
              <w:rPr>
                <w:rFonts w:hint="eastAsia" w:ascii="仿宋_GB2312" w:hAnsi="仿宋_GB2312" w:eastAsia="仿宋_GB2312" w:cs="仿宋_GB2312"/>
                <w:color w:val="000000"/>
                <w:kern w:val="0"/>
                <w:szCs w:val="21"/>
                <w:lang w:val="en" w:eastAsia="zh-CN" w:bidi="ar"/>
              </w:rPr>
            </w:pPr>
            <w:r>
              <w:rPr>
                <w:rFonts w:hint="eastAsia" w:ascii="仿宋_GB2312" w:hAnsi="仿宋_GB2312" w:eastAsia="仿宋_GB2312" w:cs="仿宋_GB2312"/>
                <w:color w:val="000000"/>
                <w:kern w:val="0"/>
                <w:szCs w:val="21"/>
                <w:lang w:val="en-US" w:eastAsia="zh-CN" w:bidi="ar"/>
              </w:rPr>
              <w:t>3</w:t>
            </w: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68" w:firstLineChars="200"/>
        <w:jc w:val="both"/>
        <w:textAlignment w:val="baseline"/>
        <w:rPr>
          <w:rFonts w:hint="eastAsia" w:ascii="黑体" w:hAnsi="黑体" w:eastAsia="黑体" w:cs="黑体"/>
          <w:spacing w:val="7"/>
          <w:sz w:val="32"/>
          <w:szCs w:val="32"/>
        </w:rPr>
      </w:pPr>
      <w:r>
        <w:rPr>
          <w:rFonts w:hint="eastAsia" w:ascii="黑体" w:hAnsi="黑体" w:eastAsia="黑体" w:cs="黑体"/>
          <w:spacing w:val="7"/>
          <w:sz w:val="32"/>
          <w:szCs w:val="32"/>
        </w:rPr>
        <w:t>四、政府信息公开行政复议、行政诉讼情况</w:t>
      </w:r>
    </w:p>
    <w:tbl>
      <w:tblPr>
        <w:tblStyle w:val="10"/>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行政复议</w:t>
            </w:r>
          </w:p>
        </w:tc>
        <w:tc>
          <w:tcPr>
            <w:tcW w:w="6503"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结果维持</w:t>
            </w:r>
          </w:p>
        </w:tc>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结果</w:t>
            </w:r>
          </w:p>
          <w:p>
            <w:pPr>
              <w:widowControl/>
              <w:spacing w:line="560" w:lineRule="exact"/>
              <w:jc w:val="center"/>
            </w:pPr>
            <w:r>
              <w:rPr>
                <w:rFonts w:hint="eastAsia" w:ascii="宋体" w:hAnsi="宋体" w:cs="宋体"/>
                <w:kern w:val="0"/>
                <w:sz w:val="20"/>
                <w:szCs w:val="20"/>
                <w:lang w:bidi="ar"/>
              </w:rPr>
              <w:t>纠正</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其他</w:t>
            </w:r>
          </w:p>
          <w:p>
            <w:pPr>
              <w:widowControl/>
              <w:spacing w:line="560" w:lineRule="exact"/>
              <w:jc w:val="center"/>
            </w:pPr>
            <w:r>
              <w:rPr>
                <w:rFonts w:hint="eastAsia" w:ascii="宋体" w:hAnsi="宋体" w:cs="宋体"/>
                <w:kern w:val="0"/>
                <w:sz w:val="20"/>
                <w:szCs w:val="20"/>
                <w:lang w:bidi="ar"/>
              </w:rPr>
              <w:t>结果</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尚未</w:t>
            </w:r>
          </w:p>
          <w:p>
            <w:pPr>
              <w:widowControl/>
              <w:spacing w:line="560" w:lineRule="exact"/>
              <w:jc w:val="center"/>
            </w:pPr>
            <w:r>
              <w:rPr>
                <w:rFonts w:hint="eastAsia" w:ascii="宋体" w:hAnsi="宋体" w:cs="宋体"/>
                <w:kern w:val="0"/>
                <w:sz w:val="20"/>
                <w:szCs w:val="20"/>
                <w:lang w:bidi="ar"/>
              </w:rPr>
              <w:t>审结</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560" w:lineRule="exact"/>
              <w:rPr>
                <w:rFonts w:hint="eastAsia" w:ascii="宋体"/>
                <w:sz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560" w:lineRule="exact"/>
              <w:rPr>
                <w:rFonts w:hint="eastAsia"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560" w:lineRule="exact"/>
              <w:rPr>
                <w:rFonts w:hint="eastAsia"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560" w:lineRule="exact"/>
              <w:rPr>
                <w:rFonts w:hint="eastAsia"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560" w:lineRule="exact"/>
              <w:rPr>
                <w:rFonts w:hint="eastAsia" w:ascii="宋体"/>
                <w:sz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结果</w:t>
            </w:r>
          </w:p>
          <w:p>
            <w:pPr>
              <w:widowControl/>
              <w:spacing w:line="560" w:lineRule="exact"/>
              <w:jc w:val="center"/>
            </w:pPr>
            <w:r>
              <w:rPr>
                <w:rFonts w:hint="eastAsia" w:ascii="宋体" w:hAnsi="宋体" w:cs="宋体"/>
                <w:kern w:val="0"/>
                <w:sz w:val="20"/>
                <w:szCs w:val="20"/>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结果</w:t>
            </w:r>
          </w:p>
          <w:p>
            <w:pPr>
              <w:widowControl/>
              <w:spacing w:line="560" w:lineRule="exact"/>
              <w:jc w:val="center"/>
            </w:pP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其他</w:t>
            </w:r>
          </w:p>
          <w:p>
            <w:pPr>
              <w:widowControl/>
              <w:spacing w:line="560" w:lineRule="exact"/>
              <w:jc w:val="center"/>
            </w:pPr>
            <w:r>
              <w:rPr>
                <w:rFonts w:hint="eastAsia" w:ascii="宋体" w:hAnsi="宋体" w:cs="宋体"/>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尚未</w:t>
            </w:r>
          </w:p>
          <w:p>
            <w:pPr>
              <w:widowControl/>
              <w:spacing w:line="560" w:lineRule="exact"/>
              <w:jc w:val="center"/>
            </w:pP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color w:val="000000"/>
                <w:kern w:val="0"/>
                <w:sz w:val="20"/>
                <w:szCs w:val="20"/>
                <w:lang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结果</w:t>
            </w:r>
          </w:p>
          <w:p>
            <w:pPr>
              <w:widowControl/>
              <w:spacing w:line="560" w:lineRule="exact"/>
              <w:jc w:val="center"/>
            </w:pPr>
            <w:r>
              <w:rPr>
                <w:rFonts w:hint="eastAsia" w:ascii="宋体" w:hAnsi="宋体" w:cs="宋体"/>
                <w:kern w:val="0"/>
                <w:sz w:val="20"/>
                <w:szCs w:val="20"/>
                <w:lang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结果</w:t>
            </w:r>
          </w:p>
          <w:p>
            <w:pPr>
              <w:widowControl/>
              <w:spacing w:line="560" w:lineRule="exact"/>
              <w:jc w:val="center"/>
            </w:pPr>
            <w:r>
              <w:rPr>
                <w:rFonts w:hint="eastAsia" w:ascii="宋体" w:hAnsi="宋体" w:cs="宋体"/>
                <w:kern w:val="0"/>
                <w:sz w:val="20"/>
                <w:szCs w:val="20"/>
                <w:lang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其他</w:t>
            </w:r>
          </w:p>
          <w:p>
            <w:pPr>
              <w:widowControl/>
              <w:spacing w:line="560" w:lineRule="exact"/>
              <w:jc w:val="center"/>
            </w:pPr>
            <w:r>
              <w:rPr>
                <w:rFonts w:hint="eastAsia" w:ascii="宋体" w:hAnsi="宋体" w:cs="宋体"/>
                <w:color w:val="000000"/>
                <w:kern w:val="0"/>
                <w:sz w:val="20"/>
                <w:szCs w:val="20"/>
                <w:lang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尚未</w:t>
            </w:r>
          </w:p>
          <w:p>
            <w:pPr>
              <w:widowControl/>
              <w:spacing w:line="560" w:lineRule="exact"/>
              <w:jc w:val="center"/>
            </w:pPr>
            <w:r>
              <w:rPr>
                <w:rFonts w:hint="eastAsia" w:ascii="宋体" w:hAnsi="宋体" w:cs="宋体"/>
                <w:kern w:val="0"/>
                <w:sz w:val="20"/>
                <w:szCs w:val="20"/>
                <w:lang w:bidi="ar"/>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color w:val="000000"/>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560" w:lineRule="exact"/>
              <w:jc w:val="center"/>
              <w:rPr>
                <w:rFonts w:hint="eastAsia" w:ascii="仿宋_GB2312" w:hAnsi="仿宋_GB2312" w:eastAsia="仿宋_GB2312" w:cs="仿宋_GB2312"/>
                <w:color w:val="000000"/>
                <w:kern w:val="0"/>
                <w:szCs w:val="21"/>
                <w:lang w:val="en" w:eastAsia="zh-CN" w:bidi="ar"/>
              </w:rPr>
            </w:pPr>
            <w:r>
              <w:rPr>
                <w:rFonts w:hint="eastAsia" w:ascii="仿宋_GB2312" w:hAnsi="仿宋_GB2312" w:eastAsia="仿宋_GB2312" w:cs="仿宋_GB2312"/>
                <w:color w:val="000000"/>
                <w:kern w:val="0"/>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560" w:lineRule="exact"/>
              <w:jc w:val="center"/>
              <w:rPr>
                <w:rFonts w:hint="eastAsia" w:ascii="仿宋_GB2312" w:hAnsi="仿宋_GB2312" w:eastAsia="仿宋_GB2312" w:cs="仿宋_GB2312"/>
                <w:color w:val="000000"/>
                <w:kern w:val="0"/>
                <w:szCs w:val="21"/>
                <w:lang w:val="en" w:eastAsia="zh-CN" w:bidi="ar"/>
              </w:rPr>
            </w:pPr>
            <w:r>
              <w:rPr>
                <w:rFonts w:hint="eastAsia" w:ascii="仿宋_GB2312" w:hAnsi="仿宋_GB2312" w:eastAsia="仿宋_GB2312" w:cs="仿宋_GB2312"/>
                <w:color w:val="000000"/>
                <w:kern w:val="0"/>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560" w:lineRule="exact"/>
              <w:jc w:val="center"/>
              <w:rPr>
                <w:rFonts w:hint="eastAsia" w:ascii="仿宋_GB2312" w:hAnsi="仿宋_GB2312" w:eastAsia="仿宋_GB2312" w:cs="仿宋_GB2312"/>
                <w:color w:val="000000"/>
                <w:kern w:val="0"/>
                <w:szCs w:val="21"/>
                <w:lang w:val="en" w:eastAsia="zh-CN" w:bidi="ar"/>
              </w:rPr>
            </w:pPr>
            <w:r>
              <w:rPr>
                <w:rFonts w:hint="eastAsia" w:ascii="仿宋_GB2312" w:hAnsi="仿宋_GB2312" w:eastAsia="仿宋_GB2312" w:cs="仿宋_GB2312"/>
                <w:color w:val="000000"/>
                <w:kern w:val="0"/>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560" w:lineRule="exact"/>
              <w:jc w:val="center"/>
              <w:rPr>
                <w:rFonts w:hint="eastAsia" w:ascii="仿宋_GB2312" w:hAnsi="仿宋_GB2312" w:eastAsia="仿宋_GB2312" w:cs="仿宋_GB2312"/>
                <w:color w:val="000000"/>
                <w:kern w:val="0"/>
                <w:szCs w:val="21"/>
                <w:lang w:val="en" w:eastAsia="zh-CN" w:bidi="ar"/>
              </w:rPr>
            </w:pPr>
            <w:r>
              <w:rPr>
                <w:rFonts w:hint="eastAsia" w:ascii="仿宋_GB2312" w:hAnsi="仿宋_GB2312" w:eastAsia="仿宋_GB2312" w:cs="仿宋_GB2312"/>
                <w:color w:val="000000"/>
                <w:kern w:val="0"/>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560" w:lineRule="exact"/>
              <w:jc w:val="center"/>
              <w:rPr>
                <w:rFonts w:hint="eastAsia" w:ascii="仿宋_GB2312" w:hAnsi="仿宋_GB2312" w:eastAsia="仿宋_GB2312" w:cs="仿宋_GB2312"/>
                <w:color w:val="000000"/>
                <w:kern w:val="0"/>
                <w:szCs w:val="21"/>
                <w:lang w:val="en" w:eastAsia="zh-CN" w:bidi="ar"/>
              </w:rPr>
            </w:pPr>
            <w:r>
              <w:rPr>
                <w:rFonts w:hint="eastAsia" w:ascii="仿宋_GB2312" w:hAnsi="仿宋_GB2312" w:eastAsia="仿宋_GB2312" w:cs="仿宋_GB2312"/>
                <w:color w:val="000000"/>
                <w:kern w:val="0"/>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560" w:lineRule="exact"/>
              <w:jc w:val="center"/>
              <w:rPr>
                <w:rFonts w:hint="eastAsia" w:ascii="仿宋_GB2312" w:hAnsi="仿宋_GB2312" w:eastAsia="仿宋_GB2312" w:cs="仿宋_GB2312"/>
                <w:color w:val="000000"/>
                <w:kern w:val="0"/>
                <w:szCs w:val="21"/>
                <w:lang w:eastAsia="zh-CN" w:bidi="ar"/>
              </w:rPr>
            </w:pPr>
            <w:r>
              <w:rPr>
                <w:rFonts w:hint="eastAsia" w:ascii="仿宋_GB2312" w:hAnsi="仿宋_GB2312" w:eastAsia="仿宋_GB2312" w:cs="仿宋_GB2312"/>
                <w:color w:val="000000"/>
                <w:kern w:val="0"/>
                <w:szCs w:val="21"/>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560" w:lineRule="exact"/>
              <w:jc w:val="center"/>
              <w:rPr>
                <w:rFonts w:ascii="仿宋_GB2312" w:hAnsi="仿宋_GB2312" w:eastAsia="仿宋_GB2312" w:cs="仿宋_GB2312"/>
                <w:color w:val="000000"/>
                <w:kern w:val="0"/>
                <w:szCs w:val="21"/>
                <w:lang w:val="en" w:bidi="ar"/>
              </w:rPr>
            </w:pPr>
            <w:r>
              <w:rPr>
                <w:rFonts w:ascii="仿宋_GB2312" w:hAnsi="仿宋_GB2312" w:eastAsia="仿宋_GB2312" w:cs="仿宋_GB2312"/>
                <w:color w:val="000000"/>
                <w:kern w:val="0"/>
                <w:szCs w:val="21"/>
                <w:lang w:val="en" w:bidi="ar"/>
              </w:rPr>
              <w:t>0</w:t>
            </w: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68" w:firstLineChars="200"/>
        <w:jc w:val="both"/>
        <w:textAlignment w:val="baseline"/>
        <w:rPr>
          <w:rFonts w:ascii="黑体" w:hAnsi="黑体" w:eastAsia="黑体" w:cs="黑体"/>
          <w:spacing w:val="7"/>
          <w:sz w:val="32"/>
          <w:szCs w:val="32"/>
        </w:rPr>
      </w:pPr>
      <w:r>
        <w:rPr>
          <w:rFonts w:ascii="黑体" w:hAnsi="黑体" w:eastAsia="黑体" w:cs="黑体"/>
          <w:spacing w:val="7"/>
          <w:sz w:val="32"/>
          <w:szCs w:val="32"/>
        </w:rPr>
        <w:t>五、存在的主要问题及改进情况</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eastAsia="仿宋_GB2312" w:cs="仿宋_GB2312"/>
          <w:color w:val="000000"/>
          <w:sz w:val="32"/>
          <w:szCs w:val="32"/>
        </w:rPr>
      </w:pPr>
      <w:r>
        <w:rPr>
          <w:rFonts w:hint="eastAsia" w:ascii="仿宋_GB2312" w:hAnsi="仿宋_GB2312" w:eastAsia="仿宋_GB2312" w:cs="仿宋_GB2312"/>
          <w:sz w:val="32"/>
          <w:szCs w:val="32"/>
          <w:lang w:val="en-US" w:eastAsia="zh-CN"/>
        </w:rPr>
        <w:t>我县政府信息公开工作虽取得了一定成绩</w:t>
      </w:r>
      <w:r>
        <w:rPr>
          <w:rFonts w:hint="eastAsia" w:ascii="仿宋_GB2312" w:hAnsi="仿宋_GB2312" w:eastAsia="仿宋_GB2312" w:cs="仿宋_GB2312"/>
          <w:sz w:val="32"/>
          <w:szCs w:val="32"/>
          <w:lang w:eastAsia="zh-CN"/>
        </w:rPr>
        <w:t>，但距离上级要求、群众的期盼还有差距，具体表现在</w:t>
      </w:r>
      <w:r>
        <w:rPr>
          <w:rFonts w:hint="eastAsia" w:ascii="仿宋_GB2312" w:eastAsia="仿宋_GB2312" w:cs="仿宋_GB2312"/>
          <w:color w:val="000000"/>
          <w:sz w:val="32"/>
          <w:szCs w:val="32"/>
        </w:rPr>
        <w:t>：</w:t>
      </w:r>
      <w:r>
        <w:rPr>
          <w:rFonts w:hint="eastAsia" w:ascii="仿宋_GB2312" w:eastAsia="仿宋_GB2312" w:cs="仿宋_GB2312"/>
          <w:b/>
          <w:bCs/>
          <w:color w:val="000000"/>
          <w:sz w:val="32"/>
          <w:szCs w:val="32"/>
        </w:rPr>
        <w:t>一是</w:t>
      </w:r>
      <w:r>
        <w:rPr>
          <w:rFonts w:hint="eastAsia" w:ascii="仿宋_GB2312" w:eastAsia="仿宋_GB2312" w:cs="仿宋_GB2312"/>
          <w:color w:val="000000"/>
          <w:sz w:val="32"/>
          <w:szCs w:val="32"/>
          <w:lang w:eastAsia="zh-CN"/>
        </w:rPr>
        <w:t>少数</w:t>
      </w:r>
      <w:r>
        <w:rPr>
          <w:rFonts w:hint="eastAsia" w:ascii="仿宋_GB2312" w:eastAsia="仿宋_GB2312" w:cs="仿宋_GB2312"/>
          <w:color w:val="000000"/>
          <w:sz w:val="32"/>
          <w:szCs w:val="32"/>
        </w:rPr>
        <w:t>单位工作重视不够，</w:t>
      </w:r>
      <w:r>
        <w:rPr>
          <w:rFonts w:hint="eastAsia" w:ascii="仿宋_GB2312" w:eastAsia="仿宋_GB2312" w:cs="仿宋_GB2312"/>
          <w:color w:val="000000"/>
          <w:sz w:val="32"/>
          <w:szCs w:val="32"/>
          <w:lang w:eastAsia="zh-CN"/>
        </w:rPr>
        <w:t>信息公开不积极、不主动，</w:t>
      </w:r>
      <w:r>
        <w:rPr>
          <w:rFonts w:hint="eastAsia" w:ascii="仿宋_GB2312" w:eastAsia="仿宋_GB2312" w:cs="仿宋_GB2312"/>
          <w:color w:val="000000"/>
          <w:sz w:val="32"/>
          <w:szCs w:val="32"/>
        </w:rPr>
        <w:t>公开内容时效性</w:t>
      </w:r>
      <w:r>
        <w:rPr>
          <w:rFonts w:hint="eastAsia" w:ascii="仿宋_GB2312" w:eastAsia="仿宋_GB2312" w:cs="仿宋_GB2312"/>
          <w:color w:val="000000"/>
          <w:sz w:val="32"/>
          <w:szCs w:val="32"/>
          <w:lang w:eastAsia="zh-CN"/>
        </w:rPr>
        <w:t>不强</w:t>
      </w:r>
      <w:r>
        <w:rPr>
          <w:rFonts w:hint="eastAsia" w:ascii="仿宋_GB2312" w:eastAsia="仿宋_GB2312" w:cs="仿宋_GB2312"/>
          <w:color w:val="000000"/>
          <w:sz w:val="32"/>
          <w:szCs w:val="32"/>
        </w:rPr>
        <w:t>、质量有待</w:t>
      </w:r>
      <w:r>
        <w:rPr>
          <w:rFonts w:hint="eastAsia" w:ascii="仿宋_GB2312" w:eastAsia="仿宋_GB2312" w:cs="仿宋_GB2312"/>
          <w:color w:val="000000"/>
          <w:sz w:val="32"/>
          <w:szCs w:val="32"/>
          <w:lang w:eastAsia="zh-CN"/>
        </w:rPr>
        <w:t>提升</w:t>
      </w:r>
      <w:r>
        <w:rPr>
          <w:rFonts w:hint="eastAsia" w:ascii="仿宋_GB2312" w:eastAsia="仿宋_GB2312" w:cs="仿宋_GB2312"/>
          <w:color w:val="000000"/>
          <w:sz w:val="32"/>
          <w:szCs w:val="32"/>
        </w:rPr>
        <w:t>。</w:t>
      </w:r>
      <w:r>
        <w:rPr>
          <w:rFonts w:hint="eastAsia" w:ascii="仿宋_GB2312" w:eastAsia="仿宋_GB2312" w:cs="仿宋_GB2312"/>
          <w:b/>
          <w:bCs/>
          <w:color w:val="000000"/>
          <w:sz w:val="32"/>
          <w:szCs w:val="32"/>
          <w:lang w:eastAsia="zh-CN"/>
        </w:rPr>
        <w:t>二</w:t>
      </w:r>
      <w:r>
        <w:rPr>
          <w:rFonts w:hint="eastAsia" w:ascii="仿宋_GB2312" w:eastAsia="仿宋_GB2312" w:cs="仿宋_GB2312"/>
          <w:b/>
          <w:bCs/>
          <w:color w:val="000000"/>
          <w:sz w:val="32"/>
          <w:szCs w:val="32"/>
        </w:rPr>
        <w:t>是</w:t>
      </w:r>
      <w:r>
        <w:rPr>
          <w:rFonts w:hint="eastAsia" w:ascii="仿宋_GB2312" w:eastAsia="仿宋_GB2312" w:cs="仿宋_GB2312"/>
          <w:color w:val="000000"/>
          <w:sz w:val="32"/>
          <w:szCs w:val="32"/>
          <w:lang w:eastAsia="zh-CN"/>
        </w:rPr>
        <w:t>个别单位具体经办人员变动大，更换频繁，导致业务衔接不顺畅，无法持续高质量开展政务公开工作</w:t>
      </w:r>
      <w:r>
        <w:rPr>
          <w:rFonts w:hint="eastAsia" w:ascii="仿宋_GB2312" w:eastAsia="仿宋_GB2312" w:cs="仿宋_GB2312"/>
          <w:color w:val="000000"/>
          <w:sz w:val="32"/>
          <w:szCs w:val="32"/>
        </w:rPr>
        <w:t>。</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下一步，我县将紧扣市委、市政府工作要求，紧盯工作中的短板弱项，靶向发力、真抓实干，将各项工作落实落细，全面提升</w:t>
      </w:r>
      <w:r>
        <w:rPr>
          <w:rFonts w:hint="eastAsia" w:ascii="仿宋_GB2312" w:hAnsi="仿宋_GB2312" w:eastAsia="仿宋_GB2312" w:cs="仿宋_GB2312"/>
          <w:sz w:val="32"/>
          <w:szCs w:val="32"/>
          <w:lang w:val="en-US" w:eastAsia="zh-CN"/>
        </w:rPr>
        <w:t>政府信息公开工</w:t>
      </w:r>
      <w:r>
        <w:rPr>
          <w:rFonts w:hint="eastAsia" w:ascii="仿宋_GB2312" w:hAnsi="仿宋_GB2312" w:eastAsia="仿宋_GB2312" w:cs="仿宋_GB2312"/>
          <w:kern w:val="2"/>
          <w:sz w:val="32"/>
          <w:szCs w:val="32"/>
          <w:lang w:val="en-US" w:eastAsia="zh-CN" w:bidi="ar-SA"/>
        </w:rPr>
        <w:t>作质效。</w:t>
      </w:r>
      <w:r>
        <w:rPr>
          <w:rFonts w:hint="eastAsia" w:ascii="仿宋_GB2312" w:hAnsi="仿宋_GB2312" w:eastAsia="仿宋_GB2312" w:cs="仿宋_GB2312"/>
          <w:b/>
          <w:bCs/>
          <w:kern w:val="2"/>
          <w:sz w:val="32"/>
          <w:szCs w:val="32"/>
          <w:lang w:val="en-US" w:eastAsia="zh-CN" w:bidi="ar-SA"/>
        </w:rPr>
        <w:t>一是强化公开意识。</w:t>
      </w:r>
      <w:r>
        <w:rPr>
          <w:rFonts w:hint="eastAsia" w:ascii="仿宋_GB2312" w:hAnsi="仿宋_GB2312" w:eastAsia="仿宋_GB2312" w:cs="仿宋_GB2312"/>
          <w:sz w:val="32"/>
          <w:szCs w:val="32"/>
          <w:lang w:val="en-US" w:eastAsia="zh-CN"/>
        </w:rPr>
        <w:t>坚持以“公开为常态、不公开为例外”的原则，做好重点领域信息公开，稳步提高公开质量。</w:t>
      </w:r>
      <w:r>
        <w:rPr>
          <w:rFonts w:hint="eastAsia" w:ascii="仿宋_GB2312" w:hAnsi="仿宋_GB2312" w:eastAsia="仿宋_GB2312" w:cs="仿宋_GB2312"/>
          <w:b/>
          <w:bCs/>
          <w:sz w:val="32"/>
          <w:szCs w:val="32"/>
          <w:lang w:val="en-US" w:eastAsia="zh-CN"/>
        </w:rPr>
        <w:t>二是加强制度保障。</w:t>
      </w:r>
      <w:r>
        <w:rPr>
          <w:rFonts w:hint="eastAsia" w:ascii="仿宋_GB2312" w:hAnsi="仿宋_GB2312" w:eastAsia="仿宋_GB2312" w:cs="仿宋_GB2312"/>
          <w:sz w:val="32"/>
          <w:szCs w:val="32"/>
          <w:lang w:val="en-US" w:eastAsia="zh-CN"/>
        </w:rPr>
        <w:t>严格落实“三审三校”制度，严把政治关、法律关、政策关、保密关、文字关，确保上网信息的安全性、真实性、准确性。</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b/>
          <w:bCs/>
          <w:sz w:val="32"/>
          <w:szCs w:val="32"/>
          <w:lang w:val="en-US" w:eastAsia="zh-CN"/>
        </w:rPr>
        <w:t>建强工作队伍</w:t>
      </w:r>
      <w:r>
        <w:rPr>
          <w:rFonts w:hint="eastAsia" w:ascii="仿宋_GB2312" w:hAnsi="仿宋_GB2312" w:eastAsia="仿宋_GB2312" w:cs="仿宋_GB2312"/>
          <w:sz w:val="32"/>
          <w:szCs w:val="32"/>
          <w:lang w:val="en-US" w:eastAsia="zh-CN"/>
        </w:rPr>
        <w:t>。强化队伍建设，压实责任，不断充实人员力量；加强培训，多形式开展学习交流，向市内外政务公开先进地区学习，</w:t>
      </w:r>
      <w:r>
        <w:rPr>
          <w:rFonts w:hint="eastAsia" w:ascii="仿宋_GB2312" w:hAnsi="仿宋_GB2312" w:eastAsia="仿宋_GB2312" w:cs="仿宋_GB2312"/>
          <w:b w:val="0"/>
          <w:bCs w:val="0"/>
          <w:color w:val="000000"/>
          <w:sz w:val="32"/>
          <w:szCs w:val="32"/>
          <w:lang w:val="en-US" w:eastAsia="zh-CN"/>
        </w:rPr>
        <w:t>切实提升公开质量和实效。</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96" w:firstLineChars="200"/>
        <w:jc w:val="both"/>
        <w:textAlignment w:val="baseline"/>
        <w:rPr>
          <w:rFonts w:ascii="黑体" w:hAnsi="黑体" w:eastAsia="黑体" w:cs="黑体"/>
          <w:spacing w:val="7"/>
          <w:sz w:val="32"/>
          <w:szCs w:val="32"/>
        </w:rPr>
      </w:pPr>
      <w:r>
        <w:rPr>
          <w:rFonts w:ascii="黑体" w:hAnsi="黑体" w:eastAsia="黑体" w:cs="黑体"/>
          <w:spacing w:val="14"/>
          <w:sz w:val="32"/>
          <w:szCs w:val="32"/>
        </w:rPr>
        <w:t>六</w:t>
      </w:r>
      <w:r>
        <w:rPr>
          <w:rFonts w:ascii="黑体" w:hAnsi="黑体" w:eastAsia="黑体" w:cs="黑体"/>
          <w:spacing w:val="8"/>
          <w:sz w:val="32"/>
          <w:szCs w:val="32"/>
        </w:rPr>
        <w:t>、</w:t>
      </w:r>
      <w:r>
        <w:rPr>
          <w:rFonts w:ascii="黑体" w:hAnsi="黑体" w:eastAsia="黑体" w:cs="黑体"/>
          <w:spacing w:val="7"/>
          <w:sz w:val="32"/>
          <w:szCs w:val="32"/>
        </w:rPr>
        <w:t>其他需要报告的事项</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2023年，我县荣获2022年度全市政务公开工作评估考核优秀等次和安康市“十佳政府网站”称号。</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本年度未收取政府信息公开信息处理费。</w:t>
      </w:r>
    </w:p>
    <w:sectPr>
      <w:footerReference r:id="rId5" w:type="default"/>
      <w:pgSz w:w="11906" w:h="16838"/>
      <w:pgMar w:top="2154" w:right="1417" w:bottom="2041"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 important">
    <w:altName w:val="黑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6"/>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4MzY3MTAwNWViNzY4YWMzNzYyZDRhYTI1MWEyMDkifQ=="/>
    <w:docVar w:name="KSO_WPS_MARK_KEY" w:val="729b6b11-3b7d-44a7-886b-39d7c7cbbfaa"/>
  </w:docVars>
  <w:rsids>
    <w:rsidRoot w:val="00000000"/>
    <w:rsid w:val="00F622A7"/>
    <w:rsid w:val="010454CD"/>
    <w:rsid w:val="012D66CB"/>
    <w:rsid w:val="018E4567"/>
    <w:rsid w:val="01927F47"/>
    <w:rsid w:val="0194674A"/>
    <w:rsid w:val="01A22C15"/>
    <w:rsid w:val="0229375E"/>
    <w:rsid w:val="067C0D7E"/>
    <w:rsid w:val="06C675E3"/>
    <w:rsid w:val="07DE31F5"/>
    <w:rsid w:val="083375A0"/>
    <w:rsid w:val="08556700"/>
    <w:rsid w:val="086732A4"/>
    <w:rsid w:val="095F0D69"/>
    <w:rsid w:val="09C27BDC"/>
    <w:rsid w:val="09DB79A7"/>
    <w:rsid w:val="0AA73804"/>
    <w:rsid w:val="0AC95943"/>
    <w:rsid w:val="0B6704EB"/>
    <w:rsid w:val="0BB55C09"/>
    <w:rsid w:val="0BDF2A34"/>
    <w:rsid w:val="0D994588"/>
    <w:rsid w:val="0E0453D8"/>
    <w:rsid w:val="0F984844"/>
    <w:rsid w:val="100B7ABF"/>
    <w:rsid w:val="102F5FF2"/>
    <w:rsid w:val="107E363C"/>
    <w:rsid w:val="11E85CAC"/>
    <w:rsid w:val="12144CC9"/>
    <w:rsid w:val="12260CF8"/>
    <w:rsid w:val="124279CC"/>
    <w:rsid w:val="12505225"/>
    <w:rsid w:val="12940358"/>
    <w:rsid w:val="132A0CCC"/>
    <w:rsid w:val="147B69EE"/>
    <w:rsid w:val="147B72C7"/>
    <w:rsid w:val="148C1472"/>
    <w:rsid w:val="154D68CC"/>
    <w:rsid w:val="160161FA"/>
    <w:rsid w:val="168E2908"/>
    <w:rsid w:val="171165D8"/>
    <w:rsid w:val="18925A08"/>
    <w:rsid w:val="18C77E01"/>
    <w:rsid w:val="18D806C7"/>
    <w:rsid w:val="193933B6"/>
    <w:rsid w:val="19C44917"/>
    <w:rsid w:val="1DA7396E"/>
    <w:rsid w:val="1DD62C9D"/>
    <w:rsid w:val="1EE40026"/>
    <w:rsid w:val="1F346ABD"/>
    <w:rsid w:val="1F553656"/>
    <w:rsid w:val="1FD256EB"/>
    <w:rsid w:val="215C0EAE"/>
    <w:rsid w:val="219428FB"/>
    <w:rsid w:val="22445A1D"/>
    <w:rsid w:val="22AC27F1"/>
    <w:rsid w:val="239634D6"/>
    <w:rsid w:val="239E3BE4"/>
    <w:rsid w:val="23B05F44"/>
    <w:rsid w:val="23E50503"/>
    <w:rsid w:val="240D1EC8"/>
    <w:rsid w:val="24B6415E"/>
    <w:rsid w:val="25845FD4"/>
    <w:rsid w:val="25AB3B32"/>
    <w:rsid w:val="26BE31B1"/>
    <w:rsid w:val="26F66B0F"/>
    <w:rsid w:val="273807F7"/>
    <w:rsid w:val="288F36D5"/>
    <w:rsid w:val="299F4469"/>
    <w:rsid w:val="2A6D3510"/>
    <w:rsid w:val="2B276114"/>
    <w:rsid w:val="2EE00B8F"/>
    <w:rsid w:val="2F0F475A"/>
    <w:rsid w:val="2F8C190B"/>
    <w:rsid w:val="2F9303FB"/>
    <w:rsid w:val="2FA5351D"/>
    <w:rsid w:val="30011B68"/>
    <w:rsid w:val="30F41A67"/>
    <w:rsid w:val="310A4AB5"/>
    <w:rsid w:val="31491327"/>
    <w:rsid w:val="32384404"/>
    <w:rsid w:val="352167CF"/>
    <w:rsid w:val="36270733"/>
    <w:rsid w:val="37C702A9"/>
    <w:rsid w:val="3819048E"/>
    <w:rsid w:val="39E6508D"/>
    <w:rsid w:val="3A0C21C2"/>
    <w:rsid w:val="3B051543"/>
    <w:rsid w:val="3B183024"/>
    <w:rsid w:val="3B9C18B7"/>
    <w:rsid w:val="3D2977E5"/>
    <w:rsid w:val="3D5D45AD"/>
    <w:rsid w:val="3E385A19"/>
    <w:rsid w:val="3F4F5483"/>
    <w:rsid w:val="40EA7AAF"/>
    <w:rsid w:val="416535D9"/>
    <w:rsid w:val="41B618EE"/>
    <w:rsid w:val="41E71F48"/>
    <w:rsid w:val="41F320F5"/>
    <w:rsid w:val="42DB7F0D"/>
    <w:rsid w:val="433E1A96"/>
    <w:rsid w:val="446472DA"/>
    <w:rsid w:val="4521285A"/>
    <w:rsid w:val="45253F50"/>
    <w:rsid w:val="4537679D"/>
    <w:rsid w:val="45857508"/>
    <w:rsid w:val="45CF2ACB"/>
    <w:rsid w:val="464320AA"/>
    <w:rsid w:val="47434CC7"/>
    <w:rsid w:val="474766CF"/>
    <w:rsid w:val="48343468"/>
    <w:rsid w:val="48437620"/>
    <w:rsid w:val="48FF3119"/>
    <w:rsid w:val="49680DA2"/>
    <w:rsid w:val="49F42EAF"/>
    <w:rsid w:val="4BDE39EA"/>
    <w:rsid w:val="4BF8749E"/>
    <w:rsid w:val="4BFE62B0"/>
    <w:rsid w:val="4C1635B0"/>
    <w:rsid w:val="4CAC321C"/>
    <w:rsid w:val="4DAB0E9F"/>
    <w:rsid w:val="4F1D0342"/>
    <w:rsid w:val="4F495A4B"/>
    <w:rsid w:val="4FB9353B"/>
    <w:rsid w:val="503C4051"/>
    <w:rsid w:val="50966A6E"/>
    <w:rsid w:val="50AC140F"/>
    <w:rsid w:val="51812ED3"/>
    <w:rsid w:val="51CF63D7"/>
    <w:rsid w:val="525D11EC"/>
    <w:rsid w:val="534F0945"/>
    <w:rsid w:val="53F87A3F"/>
    <w:rsid w:val="54431836"/>
    <w:rsid w:val="56F36662"/>
    <w:rsid w:val="57A94FEA"/>
    <w:rsid w:val="57AA22A2"/>
    <w:rsid w:val="57DF519E"/>
    <w:rsid w:val="58313520"/>
    <w:rsid w:val="5879200F"/>
    <w:rsid w:val="58811E29"/>
    <w:rsid w:val="58BD71CE"/>
    <w:rsid w:val="598D2358"/>
    <w:rsid w:val="59926DC7"/>
    <w:rsid w:val="5AE8436A"/>
    <w:rsid w:val="5CCB1593"/>
    <w:rsid w:val="5D2A6683"/>
    <w:rsid w:val="5D6113E7"/>
    <w:rsid w:val="5EE920E0"/>
    <w:rsid w:val="5F432510"/>
    <w:rsid w:val="5F5F367A"/>
    <w:rsid w:val="600F02DF"/>
    <w:rsid w:val="606F72DB"/>
    <w:rsid w:val="60E71ECF"/>
    <w:rsid w:val="6105309F"/>
    <w:rsid w:val="613025C6"/>
    <w:rsid w:val="614B589B"/>
    <w:rsid w:val="63554566"/>
    <w:rsid w:val="637C6E66"/>
    <w:rsid w:val="63AD5C13"/>
    <w:rsid w:val="63D04563"/>
    <w:rsid w:val="64522A63"/>
    <w:rsid w:val="652C2E08"/>
    <w:rsid w:val="65BA2DA7"/>
    <w:rsid w:val="65F31D9F"/>
    <w:rsid w:val="66344907"/>
    <w:rsid w:val="665C3E5E"/>
    <w:rsid w:val="673E3563"/>
    <w:rsid w:val="675B3101"/>
    <w:rsid w:val="67A11CC0"/>
    <w:rsid w:val="67F624FB"/>
    <w:rsid w:val="686B3FC7"/>
    <w:rsid w:val="68C47DEE"/>
    <w:rsid w:val="69796AD5"/>
    <w:rsid w:val="6A042842"/>
    <w:rsid w:val="6A531ADF"/>
    <w:rsid w:val="6BF07D7B"/>
    <w:rsid w:val="6BFC0225"/>
    <w:rsid w:val="6C2A1A18"/>
    <w:rsid w:val="6CCB7FD3"/>
    <w:rsid w:val="6D3614F2"/>
    <w:rsid w:val="6D84664B"/>
    <w:rsid w:val="6E273271"/>
    <w:rsid w:val="6E930639"/>
    <w:rsid w:val="6F2B2817"/>
    <w:rsid w:val="6F327E52"/>
    <w:rsid w:val="6FE55D87"/>
    <w:rsid w:val="70D311C0"/>
    <w:rsid w:val="70E32B78"/>
    <w:rsid w:val="72727852"/>
    <w:rsid w:val="73613807"/>
    <w:rsid w:val="74934EEE"/>
    <w:rsid w:val="770E11B9"/>
    <w:rsid w:val="77136BB5"/>
    <w:rsid w:val="776010DB"/>
    <w:rsid w:val="777971DA"/>
    <w:rsid w:val="77C4258D"/>
    <w:rsid w:val="782A1706"/>
    <w:rsid w:val="78A20A10"/>
    <w:rsid w:val="78B80716"/>
    <w:rsid w:val="79C14961"/>
    <w:rsid w:val="79ED50A1"/>
    <w:rsid w:val="7A721E13"/>
    <w:rsid w:val="7B523868"/>
    <w:rsid w:val="7C5D2FAC"/>
    <w:rsid w:val="7C7E0232"/>
    <w:rsid w:val="7D5E6F9B"/>
    <w:rsid w:val="7DEE13E8"/>
    <w:rsid w:val="7ED21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0"/>
    <w:pPr>
      <w:spacing w:before="0" w:after="140" w:line="276" w:lineRule="auto"/>
    </w:pPr>
  </w:style>
  <w:style w:type="paragraph" w:styleId="5">
    <w:name w:val="Body Text Indent"/>
    <w:basedOn w:val="1"/>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pPr>
    <w:rPr>
      <w:rFonts w:ascii="微软雅黑 ! important" w:hAnsi="微软雅黑 ! important" w:eastAsia="微软雅黑 ! important" w:cs="微软雅黑 ! important"/>
      <w:kern w:val="0"/>
      <w:sz w:val="24"/>
      <w:lang w:val="en-US" w:eastAsia="zh-CN" w:bidi="ar"/>
    </w:rPr>
  </w:style>
  <w:style w:type="paragraph" w:styleId="9">
    <w:name w:val="Body Text First Indent 2"/>
    <w:basedOn w:val="5"/>
    <w:qFormat/>
    <w:uiPriority w:val="0"/>
    <w:pPr>
      <w:ind w:firstLine="420" w:firstLineChars="200"/>
    </w:pPr>
  </w:style>
  <w:style w:type="character" w:styleId="12">
    <w:name w:val="FollowedHyperlink"/>
    <w:basedOn w:val="11"/>
    <w:qFormat/>
    <w:uiPriority w:val="0"/>
    <w:rPr>
      <w:rFonts w:hint="default" w:ascii="微软雅黑 ! important" w:hAnsi="微软雅黑 ! important" w:eastAsia="微软雅黑 ! important" w:cs="微软雅黑 ! important"/>
      <w:color w:val="111111"/>
      <w:u w:val="none"/>
    </w:rPr>
  </w:style>
  <w:style w:type="character" w:styleId="13">
    <w:name w:val="Hyperlink"/>
    <w:basedOn w:val="11"/>
    <w:qFormat/>
    <w:uiPriority w:val="0"/>
    <w:rPr>
      <w:rFonts w:hint="default" w:ascii="微软雅黑 ! important" w:hAnsi="微软雅黑 ! important" w:eastAsia="微软雅黑 ! important" w:cs="微软雅黑 ! important"/>
      <w:color w:val="111111"/>
      <w:u w:val="none"/>
    </w:rPr>
  </w:style>
  <w:style w:type="table" w:customStyle="1" w:styleId="14">
    <w:name w:val="Table Normal"/>
    <w:semiHidden/>
    <w:unhideWhenUsed/>
    <w:qFormat/>
    <w:uiPriority w:val="0"/>
    <w:tblPr>
      <w:tblCellMar>
        <w:top w:w="0" w:type="dxa"/>
        <w:left w:w="0" w:type="dxa"/>
        <w:bottom w:w="0" w:type="dxa"/>
        <w:right w:w="0" w:type="dxa"/>
      </w:tblCellMar>
    </w:tblPr>
  </w:style>
  <w:style w:type="character" w:customStyle="1" w:styleId="15">
    <w:name w:val="nth-child(2)"/>
    <w:basedOn w:val="11"/>
    <w:qFormat/>
    <w:uiPriority w:val="0"/>
    <w:rPr>
      <w:color w:val="888888"/>
    </w:rPr>
  </w:style>
  <w:style w:type="character" w:customStyle="1" w:styleId="16">
    <w:name w:val="nth-child(2)1"/>
    <w:basedOn w:val="11"/>
    <w:qFormat/>
    <w:uiPriority w:val="0"/>
    <w:rPr>
      <w:color w:val="888888"/>
    </w:rPr>
  </w:style>
  <w:style w:type="character" w:customStyle="1" w:styleId="17">
    <w:name w:val="bsharetext"/>
    <w:basedOn w:val="11"/>
    <w:qFormat/>
    <w:uiPriority w:val="0"/>
  </w:style>
  <w:style w:type="character" w:customStyle="1" w:styleId="18">
    <w:name w:val="nth-child(1)"/>
    <w:basedOn w:val="1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2443</Words>
  <Characters>2509</Characters>
  <Lines>0</Lines>
  <Paragraphs>0</Paragraphs>
  <TotalTime>1</TotalTime>
  <ScaleCrop>false</ScaleCrop>
  <LinksUpToDate>false</LinksUpToDate>
  <CharactersWithSpaces>2526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2023-01-11T07:49:00Z</dcterms:created>
  <dc:creator>Administrator</dc:creator>
  <cp:lastModifiedBy>WPS_1665049230</cp:lastModifiedBy>
  <cp:lastPrinted>2024-02-01T03:45:00Z</cp:lastPrinted>
  <dcterms:modified xsi:type="dcterms:W3CDTF">2024-02-04T03:50:00Z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F66BF83CD3DB469B8855439EE186A121</vt:lpwstr>
  </property>
</Properties>
</file>